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pPr>
      <w:r>
        <w:rPr>
          <w:rFonts w:ascii="Calibri" w:cs="Calibri" w:eastAsia="Calibri" w:hAnsi="Calibri"/>
          <w:b/>
          <w:bCs/>
          <w:color w:val="3A7CA5"/>
          <w:spacing w:val="60"/>
          <w:sz w:val="16"/>
          <w:szCs w:val="16"/>
        </w:rPr>
        <w:t xml:space="preserve">CLINICIAN RESOURCE</w:t>
      </w:r>
    </w:p>
    <w:p>
      <w:pPr>
        <w:spacing w:after="60"/>
      </w:pPr>
      <w:r>
        <w:rPr>
          <w:rFonts w:ascii="Calibri" w:cs="Calibri" w:eastAsia="Calibri" w:hAnsi="Calibri"/>
          <w:b/>
          <w:bCs/>
          <w:color w:val="1F4E5F"/>
          <w:sz w:val="40"/>
          <w:szCs w:val="40"/>
        </w:rPr>
        <w:t xml:space="preserve">Talking to Your Client About Ketamine</w:t>
      </w:r>
    </w:p>
    <w:p>
      <w:pPr>
        <w:spacing w:after="200"/>
      </w:pPr>
      <w:r>
        <w:rPr>
          <w:rFonts w:ascii="Calibri" w:cs="Calibri" w:eastAsia="Calibri" w:hAnsi="Calibri"/>
          <w:color w:val="6B7A80"/>
          <w:sz w:val="20"/>
          <w:szCs w:val="20"/>
        </w:rPr>
        <w:t xml:space="preserve">A short script for raising ketamine with a client — without it landing as "I’m giving up on you."</w:t>
      </w:r>
    </w:p>
    <w:p>
      <w:pPr>
        <w:spacing w:after="120" w:line="264"/>
      </w:pPr>
      <w:r>
        <w:rPr>
          <w:rFonts w:ascii="Calibri" w:cs="Calibri" w:eastAsia="Calibri" w:hAnsi="Calibri"/>
          <w:color w:val="222222"/>
          <w:sz w:val="20"/>
          <w:szCs w:val="20"/>
        </w:rPr>
        <w:t xml:space="preserve">Many therapists hesitate to bring up ketamine because they worry the client will hear it as a verdict: </w:t>
      </w:r>
      <w:r>
        <w:rPr>
          <w:rFonts w:ascii="Calibri" w:cs="Calibri" w:eastAsia="Calibri" w:hAnsi="Calibri"/>
          <w:i/>
          <w:iCs/>
          <w:color w:val="222222"/>
          <w:sz w:val="20"/>
          <w:szCs w:val="20"/>
        </w:rPr>
        <w:t xml:space="preserve">you’ve failed, or I’ve failed, or this isn’t working.</w:t>
      </w:r>
      <w:r>
        <w:rPr>
          <w:rFonts w:ascii="Calibri" w:cs="Calibri" w:eastAsia="Calibri" w:hAnsi="Calibri"/>
          <w:color w:val="222222"/>
          <w:sz w:val="20"/>
          <w:szCs w:val="20"/>
        </w:rPr>
        <w:t xml:space="preserve"> The framing below is designed to prevent that. The core move is simple — you position ketamine as </w:t>
      </w:r>
      <w:r>
        <w:rPr>
          <w:rFonts w:ascii="Calibri" w:cs="Calibri" w:eastAsia="Calibri" w:hAnsi="Calibri"/>
          <w:b/>
          <w:bCs/>
          <w:color w:val="222222"/>
          <w:sz w:val="20"/>
          <w:szCs w:val="20"/>
        </w:rPr>
        <w:t xml:space="preserve">something that makes your work together more effective</w:t>
      </w:r>
      <w:r>
        <w:rPr>
          <w:rFonts w:ascii="Calibri" w:cs="Calibri" w:eastAsia="Calibri" w:hAnsi="Calibri"/>
          <w:color w:val="222222"/>
          <w:sz w:val="20"/>
          <w:szCs w:val="20"/>
        </w:rPr>
        <w:t xml:space="preserve">, not as a replacement for it.</w:t>
      </w:r>
    </w:p>
    <w:tbl>
      <w:tblPr>
        <w:tblW w:type="dxa" w:w="9360"/>
        <w:tblBorders>
          <w:top w:val="single" w:color="E4DECF" w:sz="4"/>
          <w:left w:val="single" w:color="3A7CA5" w:sz="18"/>
          <w:bottom w:val="single" w:color="E4DECF" w:sz="4"/>
          <w:right w:val="single" w:color="E4DECF" w:sz="4"/>
          <w:insideH w:val="none"/>
          <w:insideV w:val="none"/>
        </w:tblBorders>
      </w:tblPr>
      <w:tblGrid>
        <w:gridCol w:w="9360"/>
      </w:tblGrid>
      <w:tr>
        <w:tc>
          <w:tcPr>
            <w:tcW w:type="dxa" w:w="9360"/>
            <w:shd w:fill="F4F1EA" w:color="auto" w:val="clear"/>
            <w:tcMar>
              <w:top w:type="dxa" w:w="120"/>
              <w:left w:type="dxa" w:w="160"/>
              <w:bottom w:type="dxa" w:w="120"/>
              <w:right w:type="dxa" w:w="160"/>
            </w:tcMar>
          </w:tcPr>
          <w:p>
            <w:pPr>
              <w:spacing w:after="40"/>
            </w:pPr>
            <w:r>
              <w:rPr>
                <w:rFonts w:ascii="Calibri" w:cs="Calibri" w:eastAsia="Calibri" w:hAnsi="Calibri"/>
                <w:b/>
                <w:bCs/>
                <w:color w:val="1F4E5F"/>
                <w:spacing w:val="40"/>
                <w:sz w:val="15"/>
                <w:szCs w:val="15"/>
              </w:rPr>
              <w:t xml:space="preserve">THE ONE IDEA TO ANCHOR ON</w:t>
            </w:r>
          </w:p>
          <w:p>
            <w:pPr>
              <w:spacing w:after="0" w:line="258"/>
            </w:pPr>
            <w:r>
              <w:rPr>
                <w:rFonts w:ascii="Calibri" w:cs="Calibri" w:eastAsia="Calibri" w:hAnsi="Calibri"/>
                <w:color w:val="222222"/>
                <w:sz w:val="19"/>
                <w:szCs w:val="19"/>
              </w:rPr>
              <w:t xml:space="preserve">Ketamine doesn’t replace therapy. It may open a window in which therapy can do more. You’re still the one doing the work with them — this gives you both more to work with.</w:t>
            </w:r>
          </w:p>
        </w:tc>
      </w:tr>
    </w:tbl>
    <w:p>
      <w:pPr>
        <w:keepNext/>
        <w:pBdr>
          <w:bottom w:val="single" w:color="E4DECF" w:sz="6" w:space="4"/>
        </w:pBdr>
        <w:spacing w:after="80" w:before="240"/>
      </w:pPr>
      <w:r>
        <w:rPr>
          <w:rFonts w:ascii="Calibri" w:cs="Calibri" w:eastAsia="Calibri" w:hAnsi="Calibri"/>
          <w:b/>
          <w:bCs/>
          <w:color w:val="1F4E5F"/>
          <w:sz w:val="24"/>
          <w:szCs w:val="24"/>
        </w:rPr>
        <w:t xml:space="preserve">When to raise it</w:t>
      </w:r>
    </w:p>
    <w:p>
      <w:pPr>
        <w:spacing w:after="120" w:line="264"/>
      </w:pPr>
      <w:r>
        <w:rPr>
          <w:rFonts w:ascii="Calibri" w:cs="Calibri" w:eastAsia="Calibri" w:hAnsi="Calibri"/>
          <w:color w:val="222222"/>
          <w:sz w:val="20"/>
          <w:szCs w:val="20"/>
        </w:rPr>
        <w:t xml:space="preserve">Consider introducing the conversation when:</w:t>
      </w:r>
    </w:p>
    <w:p>
      <w:pPr>
        <w:pStyle w:val="ListParagraph"/>
        <w:numPr>
          <w:ilvl w:val="0"/>
          <w:numId w:val="2"/>
        </w:numPr>
        <w:spacing w:after="60" w:line="260"/>
      </w:pPr>
      <w:r>
        <w:rPr>
          <w:rFonts w:ascii="Calibri" w:cs="Calibri" w:eastAsia="Calibri" w:hAnsi="Calibri"/>
          <w:color w:val="222222"/>
          <w:sz w:val="20"/>
          <w:szCs w:val="20"/>
        </w:rPr>
        <w:t xml:space="preserve">The client is engaged and insightful but has plateaued — the understanding is there, the shift isn’t.</w:t>
      </w:r>
    </w:p>
    <w:p>
      <w:pPr>
        <w:pStyle w:val="ListParagraph"/>
        <w:numPr>
          <w:ilvl w:val="0"/>
          <w:numId w:val="2"/>
        </w:numPr>
        <w:spacing w:after="60" w:line="260"/>
      </w:pPr>
      <w:r>
        <w:rPr>
          <w:rFonts w:ascii="Calibri" w:cs="Calibri" w:eastAsia="Calibri" w:hAnsi="Calibri"/>
          <w:color w:val="222222"/>
          <w:sz w:val="20"/>
          <w:szCs w:val="20"/>
        </w:rPr>
        <w:t xml:space="preserve">Depression or anxiety symptoms have persisted despite adequate medication trials and consistent therapy.</w:t>
      </w:r>
    </w:p>
    <w:p>
      <w:pPr>
        <w:pStyle w:val="ListParagraph"/>
        <w:numPr>
          <w:ilvl w:val="0"/>
          <w:numId w:val="2"/>
        </w:numPr>
        <w:spacing w:after="60" w:line="260"/>
      </w:pPr>
      <w:r>
        <w:rPr>
          <w:rFonts w:ascii="Calibri" w:cs="Calibri" w:eastAsia="Calibri" w:hAnsi="Calibri"/>
          <w:color w:val="222222"/>
          <w:sz w:val="20"/>
          <w:szCs w:val="20"/>
        </w:rPr>
        <w:t xml:space="preserve">The client raises it first, often after reading about it — and you want to respond with structure rather than deflection.</w:t>
      </w:r>
    </w:p>
    <w:p>
      <w:pPr>
        <w:pStyle w:val="ListParagraph"/>
        <w:numPr>
          <w:ilvl w:val="0"/>
          <w:numId w:val="2"/>
        </w:numPr>
        <w:spacing w:after="60" w:line="260"/>
      </w:pPr>
      <w:r>
        <w:rPr>
          <w:rFonts w:ascii="Calibri" w:cs="Calibri" w:eastAsia="Calibri" w:hAnsi="Calibri"/>
          <w:color w:val="222222"/>
          <w:sz w:val="20"/>
          <w:szCs w:val="20"/>
        </w:rPr>
        <w:t xml:space="preserve">Anhedonia or rumination is blocking the client from accessing the material you’re working on.</w:t>
      </w:r>
    </w:p>
    <w:p>
      <w:pPr>
        <w:keepNext/>
        <w:pBdr>
          <w:bottom w:val="single" w:color="E4DECF" w:sz="6" w:space="4"/>
        </w:pBdr>
        <w:spacing w:after="80" w:before="240"/>
      </w:pPr>
      <w:r>
        <w:rPr>
          <w:rFonts w:ascii="Calibri" w:cs="Calibri" w:eastAsia="Calibri" w:hAnsi="Calibri"/>
          <w:b/>
          <w:bCs/>
          <w:color w:val="1F4E5F"/>
          <w:sz w:val="24"/>
          <w:szCs w:val="24"/>
        </w:rPr>
        <w:t xml:space="preserve">How to open the conversation</w:t>
      </w:r>
    </w:p>
    <w:p>
      <w:pPr>
        <w:spacing w:after="120" w:line="264"/>
      </w:pPr>
      <w:r>
        <w:rPr>
          <w:rFonts w:ascii="Calibri" w:cs="Calibri" w:eastAsia="Calibri" w:hAnsi="Calibri"/>
          <w:color w:val="222222"/>
          <w:sz w:val="20"/>
          <w:szCs w:val="20"/>
        </w:rPr>
        <w:t xml:space="preserve">Lead with the relationship and the work you’ve already done together. Then introduce ketamine as an addition, not a pivot.</w:t>
      </w:r>
    </w:p>
    <w:p>
      <w:pPr>
        <w:keepNext/>
        <w:spacing w:after="50" w:before="140"/>
      </w:pPr>
      <w:r>
        <w:rPr>
          <w:rFonts w:ascii="Calibri" w:cs="Calibri" w:eastAsia="Calibri" w:hAnsi="Calibri"/>
          <w:b/>
          <w:bCs/>
          <w:color w:val="3A7CA5"/>
          <w:sz w:val="20"/>
          <w:szCs w:val="20"/>
        </w:rPr>
        <w:t xml:space="preserve">Suggested language</w:t>
      </w:r>
    </w:p>
    <w:tbl>
      <w:tblPr>
        <w:tblW w:type="dxa" w:w="9360"/>
        <w:tblBorders>
          <w:top w:val="single" w:color="E4DECF" w:sz="4"/>
          <w:left w:val="single" w:color="3A7CA5" w:sz="18"/>
          <w:bottom w:val="single" w:color="E4DECF" w:sz="4"/>
          <w:right w:val="single" w:color="E4DECF" w:sz="4"/>
          <w:insideH w:val="none"/>
          <w:insideV w:val="none"/>
        </w:tblBorders>
      </w:tblPr>
      <w:tblGrid>
        <w:gridCol w:w="9360"/>
      </w:tblGrid>
      <w:tr>
        <w:tc>
          <w:tcPr>
            <w:tcW w:type="dxa" w:w="9360"/>
            <w:shd w:fill="F4F1EA" w:color="auto" w:val="clear"/>
            <w:tcMar>
              <w:top w:type="dxa" w:w="120"/>
              <w:left w:type="dxa" w:w="160"/>
              <w:bottom w:type="dxa" w:w="120"/>
              <w:right w:type="dxa" w:w="160"/>
            </w:tcMar>
          </w:tcPr>
          <w:p>
            <w:pPr>
              <w:spacing w:after="60" w:line="258"/>
            </w:pPr>
            <w:r>
              <w:rPr>
                <w:rFonts w:ascii="Calibri" w:cs="Calibri" w:eastAsia="Calibri" w:hAnsi="Calibri"/>
                <w:i/>
                <w:iCs/>
                <w:color w:val="222222"/>
                <w:sz w:val="20"/>
                <w:szCs w:val="20"/>
              </w:rPr>
              <w:t xml:space="preserve">“I’ve been thinking about our work together, and I want to bring something up — not because I’m stepping back, but because I want us to have more to work with.</w:t>
            </w:r>
          </w:p>
          <w:p>
            <w:pPr>
              <w:spacing w:after="60" w:line="258"/>
            </w:pPr>
            <w:r>
              <w:rPr>
                <w:rFonts w:ascii="Calibri" w:cs="Calibri" w:eastAsia="Calibri" w:hAnsi="Calibri"/>
                <w:i/>
                <w:iCs/>
                <w:color w:val="222222"/>
                <w:sz w:val="20"/>
                <w:szCs w:val="20"/>
              </w:rPr>
              <w:t xml:space="preserve">You’ve done real work here. And I notice we keep reaching a point where you can see the pattern clearly, but it’s hard to actually move it. That’s common, and it’s not a failure — sometimes the brain needs a little more flexibility to let new patterns take hold.</w:t>
            </w:r>
          </w:p>
          <w:p>
            <w:pPr>
              <w:spacing w:after="0" w:line="258"/>
            </w:pPr>
            <w:r>
              <w:rPr>
                <w:rFonts w:ascii="Calibri" w:cs="Calibri" w:eastAsia="Calibri" w:hAnsi="Calibri"/>
                <w:i/>
                <w:iCs/>
                <w:color w:val="222222"/>
                <w:sz w:val="20"/>
                <w:szCs w:val="20"/>
              </w:rPr>
              <w:t xml:space="preserve">There’s a medical treatment called ketamine that some people use alongside therapy for exactly this. It’s given by a physician-led clinic, not by me — and the idea is that it can create a period where the kind of work we already do together lands more easily. I’d stay your therapist through all of it. Would you be open to me telling you more?”</w:t>
            </w:r>
          </w:p>
        </w:tc>
      </w:tr>
    </w:tbl>
    <w:p>
      <w:pPr>
        <w:keepNext/>
        <w:pBdr>
          <w:bottom w:val="single" w:color="E4DECF" w:sz="6" w:space="4"/>
        </w:pBdr>
        <w:spacing w:after="80" w:before="240"/>
      </w:pPr>
      <w:r>
        <w:rPr>
          <w:rFonts w:ascii="Calibri" w:cs="Calibri" w:eastAsia="Calibri" w:hAnsi="Calibri"/>
          <w:b/>
          <w:bCs/>
          <w:color w:val="1F4E5F"/>
          <w:sz w:val="24"/>
          <w:szCs w:val="24"/>
        </w:rPr>
        <w:t xml:space="preserve">Naming the fear directly</w:t>
      </w:r>
    </w:p>
    <w:p>
      <w:pPr>
        <w:spacing w:after="120" w:line="264"/>
      </w:pPr>
      <w:r>
        <w:rPr>
          <w:rFonts w:ascii="Calibri" w:cs="Calibri" w:eastAsia="Calibri" w:hAnsi="Calibri"/>
          <w:color w:val="222222"/>
          <w:sz w:val="20"/>
          <w:szCs w:val="20"/>
        </w:rPr>
        <w:t xml:space="preserve">If the client’s face changes — many will read a referral as abandonment — say so before they have to:</w:t>
      </w:r>
    </w:p>
    <w:tbl>
      <w:tblPr>
        <w:tblW w:type="dxa" w:w="9360"/>
        <w:tblBorders>
          <w:top w:val="single" w:color="BBD4C0" w:sz="4"/>
          <w:left w:val="single" w:color="BBD4C0" w:sz="18"/>
          <w:bottom w:val="single" w:color="BBD4C0" w:sz="4"/>
          <w:right w:val="single" w:color="BBD4C0" w:sz="4"/>
          <w:insideH w:val="none"/>
          <w:insideV w:val="none"/>
        </w:tblBorders>
      </w:tblPr>
      <w:tblGrid>
        <w:gridCol w:w="9360"/>
      </w:tblGrid>
      <w:tr>
        <w:tc>
          <w:tcPr>
            <w:tcW w:type="dxa" w:w="9360"/>
            <w:shd w:fill="EAF2EC" w:color="auto" w:val="clear"/>
            <w:tcMar>
              <w:top w:type="dxa" w:w="120"/>
              <w:left w:type="dxa" w:w="160"/>
              <w:bottom w:type="dxa" w:w="120"/>
              <w:right w:type="dxa" w:w="160"/>
            </w:tcMar>
          </w:tcPr>
          <w:p>
            <w:pPr>
              <w:spacing w:after="0" w:line="258"/>
            </w:pPr>
            <w:r>
              <w:rPr>
                <w:rFonts w:ascii="Calibri" w:cs="Calibri" w:eastAsia="Calibri" w:hAnsi="Calibri"/>
                <w:i/>
                <w:iCs/>
                <w:color w:val="222222"/>
                <w:sz w:val="20"/>
                <w:szCs w:val="20"/>
              </w:rPr>
              <w:t xml:space="preserve">“I want to be clear about one thing: this isn’t me handing you off. You stay with me. They handle the medical side, they keep me in the loop, and you and I keep meeting and doing our work. If anything, we’ll have more to do together, not less.”</w:t>
            </w:r>
          </w:p>
        </w:tc>
      </w:tr>
    </w:tbl>
    <w:p>
      <w:pPr>
        <w:keepNext/>
        <w:pBdr>
          <w:bottom w:val="single" w:color="E4DECF" w:sz="6" w:space="4"/>
        </w:pBdr>
        <w:spacing w:after="80" w:before="240"/>
      </w:pPr>
      <w:r>
        <w:rPr>
          <w:rFonts w:ascii="Calibri" w:cs="Calibri" w:eastAsia="Calibri" w:hAnsi="Calibri"/>
          <w:b/>
          <w:bCs/>
          <w:color w:val="1F4E5F"/>
          <w:sz w:val="24"/>
          <w:szCs w:val="24"/>
        </w:rPr>
        <w:t xml:space="preserve">Answering the questions clients usually ask</w:t>
      </w:r>
    </w:p>
    <w:tbl>
      <w:tblPr>
        <w:tblW w:type="dxa" w:w="9360"/>
        <w:tblBorders>
          <w:top w:val="single" w:color="E4DECF" w:sz="2"/>
          <w:left w:val="none"/>
          <w:bottom w:val="single" w:color="E4DECF" w:sz="2"/>
          <w:right w:val="none"/>
          <w:insideH w:val="single" w:color="E4DECF" w:sz="2"/>
          <w:insideV w:val="single" w:color="E4DECF" w:sz="2"/>
        </w:tblBorders>
      </w:tblPr>
      <w:tblGrid>
        <w:gridCol w:w="3400"/>
        <w:gridCol w:w="5960"/>
      </w:tblGrid>
      <w:tr>
        <w:trPr>
          <w:tblHeader/>
        </w:trPr>
        <w:tc>
          <w:tcPr>
            <w:tcW w:type="dxa" w:w="340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If they ask…</w:t>
            </w:r>
          </w:p>
        </w:tc>
        <w:tc>
          <w:tcPr>
            <w:tcW w:type="dxa" w:w="5960"/>
            <w:shd w:fill="1F4E5F" w:color="auto" w:val="clear"/>
            <w:tcMar>
              <w:top w:type="dxa" w:w="70"/>
              <w:left w:type="dxa" w:w="120"/>
              <w:bottom w:type="dxa" w:w="70"/>
              <w:right w:type="dxa" w:w="120"/>
            </w:tcMar>
          </w:tcPr>
          <w:p>
            <w:r>
              <w:rPr>
                <w:rFonts w:ascii="Calibri" w:cs="Calibri" w:eastAsia="Calibri" w:hAnsi="Calibri"/>
                <w:b/>
                <w:bCs/>
                <w:color w:val="FFFFFF"/>
                <w:sz w:val="18"/>
                <w:szCs w:val="18"/>
              </w:rPr>
              <w:t xml:space="preserve">You can say…</w:t>
            </w:r>
          </w:p>
        </w:tc>
      </w:tr>
      <w:tr>
        <w:tc>
          <w:tcPr>
            <w:tcW w:type="dxa" w:w="34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“Does this mean therapy isn’t working?”</w:t>
            </w:r>
          </w:p>
        </w:tc>
        <w:tc>
          <w:tcPr>
            <w:tcW w:type="dxa" w:w="59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No — it means we’re adding a tool. The work you’ve done is what makes this worth trying. Ketamine works best when there’s someone doing the therapeutic work alongside it. That’s us.</w:t>
            </w:r>
          </w:p>
        </w:tc>
      </w:tr>
      <w:tr>
        <w:tc>
          <w:tcPr>
            <w:tcW w:type="dxa" w:w="34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“Is it safe?”</w:t>
            </w:r>
          </w:p>
        </w:tc>
        <w:tc>
          <w:tcPr>
            <w:tcW w:type="dxa" w:w="59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It’s given in a physician-led clinic with medical screening and monitoring at every session. They screen carefully, and they turn people away when it isn’t appropriate. I can connect you with them to walk through the medical side.</w:t>
            </w:r>
          </w:p>
        </w:tc>
      </w:tr>
      <w:tr>
        <w:tc>
          <w:tcPr>
            <w:tcW w:type="dxa" w:w="34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“Will I be out of control / hallucinating?”</w:t>
            </w:r>
          </w:p>
        </w:tc>
        <w:tc>
          <w:tcPr>
            <w:tcW w:type="dxa" w:w="59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The experience varies, and the clinic prepares you for what to expect and monitors you the whole time. We’ll also prepare together beforehand, and we’ll make sense of whatever comes up afterward.</w:t>
            </w:r>
          </w:p>
        </w:tc>
      </w:tr>
      <w:tr>
        <w:tc>
          <w:tcPr>
            <w:tcW w:type="dxa" w:w="340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“Is it addictive?”</w:t>
            </w:r>
          </w:p>
        </w:tc>
        <w:tc>
          <w:tcPr>
            <w:tcW w:type="dxa" w:w="5960"/>
            <w:shd w:fill="F4F1EA"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That’s a fair question and part of why it’s done in a monitored medical setting on a defined schedule, not something you take on your own. The clinic screens for risk factors before starting.</w:t>
            </w:r>
          </w:p>
        </w:tc>
      </w:tr>
      <w:tr>
        <w:tc>
          <w:tcPr>
            <w:tcW w:type="dxa" w:w="340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“How much does it cost?”</w:t>
            </w:r>
          </w:p>
        </w:tc>
        <w:tc>
          <w:tcPr>
            <w:tcW w:type="dxa" w:w="5960"/>
            <w:shd w:fill="FFFFFF" w:color="auto" w:val="clear"/>
            <w:tcMar>
              <w:top w:type="dxa" w:w="60"/>
              <w:left w:type="dxa" w:w="120"/>
              <w:bottom w:type="dxa" w:w="60"/>
              <w:right w:type="dxa" w:w="120"/>
            </w:tcMar>
          </w:tcPr>
          <w:p>
            <w:pPr>
              <w:spacing w:after="0" w:line="252"/>
            </w:pPr>
            <w:r>
              <w:rPr>
                <w:rFonts w:ascii="Calibri" w:cs="Calibri" w:eastAsia="Calibri" w:hAnsi="Calibri"/>
                <w:color w:val="222222"/>
                <w:sz w:val="18"/>
                <w:szCs w:val="18"/>
              </w:rPr>
              <w:t xml:space="preserve">It depends on which treatment fits. One form, Spravato, is often covered by insurance. The clinic will give you exact numbers before you commit to anything — nothing is a surprise.</w:t>
            </w:r>
          </w:p>
        </w:tc>
      </w:tr>
    </w:tbl>
    <w:p>
      <w:pPr>
        <w:keepNext/>
        <w:pBdr>
          <w:bottom w:val="single" w:color="E4DECF" w:sz="6" w:space="4"/>
        </w:pBdr>
        <w:spacing w:after="80" w:before="240"/>
      </w:pPr>
      <w:r>
        <w:rPr>
          <w:rFonts w:ascii="Calibri" w:cs="Calibri" w:eastAsia="Calibri" w:hAnsi="Calibri"/>
          <w:b/>
          <w:bCs/>
          <w:color w:val="1F4E5F"/>
          <w:sz w:val="24"/>
          <w:szCs w:val="24"/>
        </w:rPr>
        <w:t xml:space="preserve">What to avoid</w:t>
      </w:r>
    </w:p>
    <w:p>
      <w:pPr>
        <w:pStyle w:val="ListParagraph"/>
        <w:numPr>
          <w:ilvl w:val="0"/>
          <w:numId w:val="2"/>
        </w:numPr>
        <w:spacing w:after="60" w:line="260"/>
      </w:pPr>
      <w:r>
        <w:rPr>
          <w:rFonts w:ascii="Calibri" w:cs="Calibri" w:eastAsia="Calibri" w:hAnsi="Calibri"/>
          <w:b/>
          <w:bCs/>
          <w:color w:val="222222"/>
          <w:sz w:val="20"/>
          <w:szCs w:val="20"/>
        </w:rPr>
        <w:t xml:space="preserve">Overselling. </w:t>
      </w:r>
      <w:r>
        <w:rPr>
          <w:rFonts w:ascii="Calibri" w:cs="Calibri" w:eastAsia="Calibri" w:hAnsi="Calibri"/>
          <w:color w:val="222222"/>
          <w:sz w:val="20"/>
          <w:szCs w:val="20"/>
        </w:rPr>
        <w:t xml:space="preserve">Don’t promise outcomes. “This could give us more to work with” is honest; “This will fix it” is not.</w:t>
      </w:r>
    </w:p>
    <w:p>
      <w:pPr>
        <w:pStyle w:val="ListParagraph"/>
        <w:numPr>
          <w:ilvl w:val="0"/>
          <w:numId w:val="2"/>
        </w:numPr>
        <w:spacing w:after="60" w:line="260"/>
      </w:pPr>
      <w:r>
        <w:rPr>
          <w:rFonts w:ascii="Calibri" w:cs="Calibri" w:eastAsia="Calibri" w:hAnsi="Calibri"/>
          <w:b/>
          <w:bCs/>
          <w:color w:val="222222"/>
          <w:sz w:val="20"/>
          <w:szCs w:val="20"/>
        </w:rPr>
        <w:t xml:space="preserve">Raising it in a crisis moment. </w:t>
      </w:r>
      <w:r>
        <w:rPr>
          <w:rFonts w:ascii="Calibri" w:cs="Calibri" w:eastAsia="Calibri" w:hAnsi="Calibri"/>
          <w:color w:val="222222"/>
          <w:sz w:val="20"/>
          <w:szCs w:val="20"/>
        </w:rPr>
        <w:t xml:space="preserve">Introduce it from a stable footing, not in the middle of an acute episode, so it doesn’t read as panic.</w:t>
      </w:r>
    </w:p>
    <w:p>
      <w:pPr>
        <w:pStyle w:val="ListParagraph"/>
        <w:numPr>
          <w:ilvl w:val="0"/>
          <w:numId w:val="2"/>
        </w:numPr>
        <w:spacing w:after="60" w:line="260"/>
      </w:pPr>
      <w:r>
        <w:rPr>
          <w:rFonts w:ascii="Calibri" w:cs="Calibri" w:eastAsia="Calibri" w:hAnsi="Calibri"/>
          <w:b/>
          <w:bCs/>
          <w:color w:val="222222"/>
          <w:sz w:val="20"/>
          <w:szCs w:val="20"/>
        </w:rPr>
        <w:t xml:space="preserve">Handing over a phone number and stopping there. </w:t>
      </w:r>
      <w:r>
        <w:rPr>
          <w:rFonts w:ascii="Calibri" w:cs="Calibri" w:eastAsia="Calibri" w:hAnsi="Calibri"/>
          <w:color w:val="222222"/>
          <w:sz w:val="20"/>
          <w:szCs w:val="20"/>
        </w:rPr>
        <w:t xml:space="preserve">Offer to make the introduction yourself — continuity is the entire point.</w:t>
      </w:r>
    </w:p>
    <w:p>
      <w:pPr>
        <w:pStyle w:val="ListParagraph"/>
        <w:numPr>
          <w:ilvl w:val="0"/>
          <w:numId w:val="2"/>
        </w:numPr>
        <w:spacing w:after="60" w:line="260"/>
      </w:pPr>
      <w:r>
        <w:rPr>
          <w:rFonts w:ascii="Calibri" w:cs="Calibri" w:eastAsia="Calibri" w:hAnsi="Calibri"/>
          <w:b/>
          <w:bCs/>
          <w:color w:val="222222"/>
          <w:sz w:val="20"/>
          <w:szCs w:val="20"/>
        </w:rPr>
        <w:t xml:space="preserve">Presenting it as a last resort. </w:t>
      </w:r>
      <w:r>
        <w:rPr>
          <w:rFonts w:ascii="Calibri" w:cs="Calibri" w:eastAsia="Calibri" w:hAnsi="Calibri"/>
          <w:color w:val="222222"/>
          <w:sz w:val="20"/>
          <w:szCs w:val="20"/>
        </w:rPr>
        <w:t xml:space="preserve">“We’ve tried everything else” frames it as defeat. “This is a tool that fits where we are” frames it as strategy.</w:t>
      </w:r>
    </w:p>
    <w:p>
      <w:pPr>
        <w:keepNext/>
        <w:pBdr>
          <w:bottom w:val="single" w:color="E4DECF" w:sz="6" w:space="4"/>
        </w:pBdr>
        <w:spacing w:after="80" w:before="240"/>
      </w:pPr>
      <w:r>
        <w:rPr>
          <w:rFonts w:ascii="Calibri" w:cs="Calibri" w:eastAsia="Calibri" w:hAnsi="Calibri"/>
          <w:b/>
          <w:bCs/>
          <w:color w:val="1F4E5F"/>
          <w:sz w:val="24"/>
          <w:szCs w:val="24"/>
        </w:rPr>
        <w:t xml:space="preserve">After the conversation</w:t>
      </w:r>
    </w:p>
    <w:p>
      <w:pPr>
        <w:spacing w:after="120" w:line="264"/>
      </w:pPr>
      <w:r>
        <w:rPr>
          <w:rFonts w:ascii="Calibri" w:cs="Calibri" w:eastAsia="Calibri" w:hAnsi="Calibri"/>
          <w:color w:val="222222"/>
          <w:sz w:val="20"/>
          <w:szCs w:val="20"/>
        </w:rPr>
        <w:t xml:space="preserve">If the client is open to it, you can refer in about two minutes and stay looped in throughout. We send you a candidacy summary before treatment begins, response notes during the series, and a completion summary at the end — so the work you do together stays coordinated.</w:t>
      </w:r>
    </w:p>
    <w:tbl>
      <w:tblPr>
        <w:tblW w:type="dxa" w:w="9360"/>
        <w:tblBorders>
          <w:top w:val="single" w:color="E4DECF" w:sz="4"/>
          <w:left w:val="single" w:color="3A7CA5" w:sz="18"/>
          <w:bottom w:val="single" w:color="E4DECF" w:sz="4"/>
          <w:right w:val="single" w:color="E4DECF" w:sz="4"/>
          <w:insideH w:val="none"/>
          <w:insideV w:val="none"/>
        </w:tblBorders>
      </w:tblPr>
      <w:tblGrid>
        <w:gridCol w:w="9360"/>
      </w:tblGrid>
      <w:tr>
        <w:tc>
          <w:tcPr>
            <w:tcW w:type="dxa" w:w="9360"/>
            <w:shd w:fill="F4F1EA" w:color="auto" w:val="clear"/>
            <w:tcMar>
              <w:top w:type="dxa" w:w="120"/>
              <w:left w:type="dxa" w:w="160"/>
              <w:bottom w:type="dxa" w:w="120"/>
              <w:right w:type="dxa" w:w="160"/>
            </w:tcMar>
          </w:tcPr>
          <w:p>
            <w:pPr>
              <w:spacing w:after="40"/>
            </w:pPr>
            <w:r>
              <w:rPr>
                <w:rFonts w:ascii="Calibri" w:cs="Calibri" w:eastAsia="Calibri" w:hAnsi="Calibri"/>
                <w:b/>
                <w:bCs/>
                <w:color w:val="1F4E5F"/>
                <w:spacing w:val="40"/>
                <w:sz w:val="15"/>
                <w:szCs w:val="15"/>
              </w:rPr>
              <w:t xml:space="preserve">REFER OR ASK A QUESTION</w:t>
            </w:r>
          </w:p>
          <w:p>
            <w:pPr>
              <w:spacing w:after="0" w:line="258"/>
            </w:pPr>
            <w:r>
              <w:rPr>
                <w:rFonts w:ascii="Calibri" w:cs="Calibri" w:eastAsia="Calibri" w:hAnsi="Calibri"/>
                <w:color w:val="222222"/>
                <w:sz w:val="20"/>
                <w:szCs w:val="20"/>
              </w:rPr>
              <w:t xml:space="preserve">Refer a client or book a 15-minute clinician-to-clinician call at </w:t>
            </w:r>
            <w:r>
              <w:rPr>
                <w:rFonts w:ascii="Calibri" w:cs="Calibri" w:eastAsia="Calibri" w:hAnsi="Calibri"/>
                <w:b/>
                <w:bCs/>
                <w:color w:val="3A7CA5"/>
                <w:sz w:val="20"/>
                <w:szCs w:val="20"/>
              </w:rPr>
              <w:t xml:space="preserve">seasideketamine.com/for-therapists</w:t>
            </w:r>
            <w:r>
              <w:rPr>
                <w:rFonts w:ascii="Calibri" w:cs="Calibri" w:eastAsia="Calibri" w:hAnsi="Calibri"/>
                <w:color w:val="222222"/>
                <w:sz w:val="20"/>
                <w:szCs w:val="20"/>
              </w:rPr>
              <w:t xml:space="preserve">. Referring therapists reach a clinician directly — not a front desk.</w:t>
            </w:r>
          </w:p>
        </w:tc>
      </w:tr>
    </w:tbl>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4DECF" w:sz="6" w:space="6"/>
      </w:pBdr>
      <w:spacing w:before="60"/>
    </w:pPr>
    <w:r>
      <w:rPr>
        <w:rFonts w:ascii="Calibri" w:cs="Calibri" w:eastAsia="Calibri" w:hAnsi="Calibri"/>
        <w:i/>
        <w:iCs/>
        <w:color w:val="6B7A80"/>
        <w:sz w:val="13"/>
        <w:szCs w:val="13"/>
      </w:rPr>
      <w:t xml:space="preserve">For licensed clinicians. Educational use only — not a substitute for independent clinical judgment.</w:t>
    </w:r>
  </w:p>
  <w:p>
    <w:pPr>
      <w:jc w:val="right"/>
    </w:pPr>
    <w:r>
      <w:rPr>
        <w:rFonts w:ascii="Calibri" w:cs="Calibri" w:eastAsia="Calibri" w:hAnsi="Calibri"/>
        <w:color w:val="6B7A80"/>
        <w:sz w:val="13"/>
        <w:szCs w:val="13"/>
      </w:rPr>
      <w:t xml:space="preserve">Seaside Ketamine  ·  </w:t>
    </w:r>
    <w:r>
      <w:rPr>
        <w:rFonts w:ascii="Calibri" w:cs="Calibri" w:eastAsia="Calibri" w:hAnsi="Calibri"/>
        <w:color w:val="6B7A80"/>
        <w:sz w:val="13"/>
        <w:szCs w:val="13"/>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40"/>
    </w:pPr>
    <w:r>
      <w:rPr>
        <w:rFonts w:ascii="Calibri" w:cs="Calibri" w:eastAsia="Calibri" w:hAnsi="Calibri"/>
        <w:b/>
        <w:bCs/>
        <w:color w:val="1F4E5F"/>
        <w:spacing w:val="40"/>
        <w:sz w:val="22"/>
        <w:szCs w:val="22"/>
      </w:rPr>
      <w:t xml:space="preserve">SEASIDE KETAMINE</w:t>
    </w:r>
  </w:p>
  <w:p>
    <w:pPr>
      <w:pBdr>
        <w:bottom w:val="single" w:color="3A7CA5" w:sz="10" w:space="6"/>
      </w:pBdr>
      <w:spacing w:after="80"/>
    </w:pPr>
    <w:r>
      <w:rPr>
        <w:rFonts w:ascii="Calibri" w:cs="Calibri" w:eastAsia="Calibri" w:hAnsi="Calibri"/>
        <w:color w:val="6B7A80"/>
        <w:sz w:val="15"/>
        <w:szCs w:val="15"/>
      </w:rPr>
      <w:t xml:space="preserve">Cardiff-by-the-Sea, California  ·  Clinician Resource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3A7CA5"/>
      </w:rPr>
    </w:lvl>
    <w:lvl w:ilvl="1" w15:tentative="1">
      <w:start w:val="1"/>
      <w:numFmt w:val="bullet"/>
      <w:lvlText w:val="–"/>
      <w:lvlJc w:val="left"/>
      <w:pPr>
        <w:ind w:left="700" w:hanging="200"/>
      </w:pPr>
      <w:rPr>
        <w:color w:val="6B7A80"/>
      </w:rPr>
    </w:lvl>
  </w:abstractNum>
  <w:abstractNum w:abstractNumId="3" w15:restartNumberingAfterBreak="0">
    <w:multiLevelType w:val="hybridMultilevel"/>
    <w:lvl w:ilvl="0" w15:tentative="1">
      <w:start w:val="1"/>
      <w:numFmt w:val="decimal"/>
      <w:lvlText w:val="%1."/>
      <w:lvlJc w:val="left"/>
      <w:pPr>
        <w:ind w:left="360" w:hanging="220"/>
      </w:pPr>
      <w:rPr>
        <w:b/>
        <w:bCs/>
        <w:color w:val="1F4E5F"/>
      </w:rPr>
    </w:lvl>
  </w:abstractNum>
  <w:abstractNum w:abstractNumId="4" w15:restartNumberingAfterBreak="0">
    <w:multiLevelType w:val="hybridMultilevel"/>
    <w:lvl w:ilvl="0" w15:tentative="1">
      <w:start w:val="1"/>
      <w:numFmt w:val="bullet"/>
      <w:lvlText w:val="☐"/>
      <w:lvlJc w:val="left"/>
      <w:pPr>
        <w:ind w:left="360" w:hanging="240"/>
      </w:pPr>
      <w:rPr>
        <w:color w:val="3A7CA5"/>
        <w:sz w:val="24"/>
        <w:szCs w:val="2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2026-07-15T18:12:54.885Z</dcterms:created>
  <dcterms:modified xsi:type="dcterms:W3CDTF">2026-07-15T18:12:54.899Z</dcterms:modified>
</cp:coreProperties>
</file>

<file path=docProps/custom.xml><?xml version="1.0" encoding="utf-8"?>
<Properties xmlns="http://schemas.openxmlformats.org/officeDocument/2006/custom-properties" xmlns:vt="http://schemas.openxmlformats.org/officeDocument/2006/docPropsVTypes"/>
</file>