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120"/>
      </w:pPr>
      <w:r>
        <w:rPr>
          <w:rFonts w:ascii="Calibri" w:cs="Calibri" w:eastAsia="Calibri" w:hAnsi="Calibri"/>
          <w:b/>
          <w:bCs/>
          <w:color w:val="3A7CA5"/>
          <w:spacing w:val="60"/>
          <w:sz w:val="16"/>
          <w:szCs w:val="16"/>
        </w:rPr>
        <w:t xml:space="preserve">CLINICIAN RESOURCE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4E5F"/>
          <w:sz w:val="40"/>
          <w:szCs w:val="40"/>
        </w:rPr>
        <w:t xml:space="preserve">Integration Session Guide</w:t>
      </w:r>
    </w:p>
    <w:p>
      <w:pPr>
        <w:spacing w:after="200"/>
      </w:pPr>
      <w:r>
        <w:rPr>
          <w:rFonts w:ascii="Calibri" w:cs="Calibri" w:eastAsia="Calibri" w:hAnsi="Calibri"/>
          <w:color w:val="6B7A80"/>
          <w:sz w:val="20"/>
          <w:szCs w:val="20"/>
        </w:rPr>
        <w:t xml:space="preserve">Structure and prompts for the first therapy session after a client’s ketamine treatment.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The plasticity window following a ketamine session is an </w:t>
      </w: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opportunity, not an outcome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. Clients frequently arrive at the next session less defended, less rigid in self-concept, and more able to revisit material that was previously stuck. This guide offers a loose structure for using that opening — adapt it to your modality and the client in front of you.</w:t>
      </w:r>
    </w:p>
    <w:tbl>
      <w:tblPr>
        <w:tblW w:type="dxa" w:w="9360"/>
        <w:tblBorders>
          <w:top w:val="single" w:color="E4DECF" w:sz="4"/>
          <w:left w:val="single" w:color="3A7CA5" w:sz="18"/>
          <w:bottom w:val="single" w:color="E4DECF" w:sz="4"/>
          <w:right w:val="single" w:color="E4DECF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1EA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4E5F"/>
                <w:spacing w:val="40"/>
                <w:sz w:val="15"/>
                <w:szCs w:val="15"/>
              </w:rPr>
              <w:t xml:space="preserve">TIMING MATTERS</w:t>
            </w:r>
          </w:p>
          <w:p>
            <w:pPr>
              <w:spacing w:after="0" w:line="258"/>
            </w:pPr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The window is widest in roughly the first 24–72 hours after a session, and often persists for a week or more. Where our scheduling allows, we time treatment so your client sees you inside that window. If you can, hold the integration session within a few days of the dose.</w:t>
            </w:r>
          </w:p>
        </w:tc>
      </w:tr>
    </w:tbl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A four-part structure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 useful default arc for the session. None of it is prescriptive — follow the client.</w:t>
      </w:r>
    </w:p>
    <w:p>
      <w:pPr>
        <w:keepNext/>
        <w:spacing w:after="50" w:before="140"/>
      </w:pPr>
      <w:r>
        <w:rPr>
          <w:rFonts w:ascii="Calibri" w:cs="Calibri" w:eastAsia="Calibri" w:hAnsi="Calibri"/>
          <w:b/>
          <w:bCs/>
          <w:color w:val="3A7CA5"/>
          <w:sz w:val="20"/>
          <w:szCs w:val="20"/>
        </w:rPr>
        <w:t xml:space="preserve">1. Land and orient (first few minutes)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Help the client settle and shift from “reporting on an experience” to being present with you. Keep it open.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“How are you arriving today — where are you, right now?”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“Before we get into the session itself, how have the last few days felt?”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“What’s it like to be back here with me?”</w:t>
      </w:r>
    </w:p>
    <w:p>
      <w:pPr>
        <w:keepNext/>
        <w:spacing w:after="50" w:before="140"/>
      </w:pPr>
      <w:r>
        <w:rPr>
          <w:rFonts w:ascii="Calibri" w:cs="Calibri" w:eastAsia="Calibri" w:hAnsi="Calibri"/>
          <w:b/>
          <w:bCs/>
          <w:color w:val="3A7CA5"/>
          <w:sz w:val="20"/>
          <w:szCs w:val="20"/>
        </w:rPr>
        <w:t xml:space="preserve">2. Open the material (the core of the session)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Invite the experience without leading it. Let the client narrate before you interpret. Silence is productive here.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“What stayed with you from the session?”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“Was there a moment, an image, or a feeling that felt important — even if you can’t say why yet?”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“Did anything look different afterward — about yourself, a relationship, a situation you’ve been carrying?”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“Was there anything that felt hard, frightening, or uncomfortable?”</w:t>
      </w:r>
    </w:p>
    <w:p>
      <w:pPr>
        <w:keepNext/>
        <w:spacing w:after="50" w:before="140"/>
      </w:pPr>
      <w:r>
        <w:rPr>
          <w:rFonts w:ascii="Calibri" w:cs="Calibri" w:eastAsia="Calibri" w:hAnsi="Calibri"/>
          <w:b/>
          <w:bCs/>
          <w:color w:val="3A7CA5"/>
          <w:sz w:val="20"/>
          <w:szCs w:val="20"/>
        </w:rPr>
        <w:t xml:space="preserve">3. Connect it to the work (bridge to therapy)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This is where integration actually happens — linking whatever surfaced to the patterns you’ve been working on together.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“Does what came up connect to anything we’ve been talking about?”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“You’ve described feeling stuck in [pattern]. Did that look or feel any different this week?”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“If part of you saw something more clearly, what would it want you to do with that?”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“What feels more possible now than it did two weeks ago?”</w:t>
      </w:r>
    </w:p>
    <w:p>
      <w:pPr>
        <w:keepNext/>
        <w:spacing w:after="50" w:before="140"/>
      </w:pPr>
      <w:r>
        <w:rPr>
          <w:rFonts w:ascii="Calibri" w:cs="Calibri" w:eastAsia="Calibri" w:hAnsi="Calibri"/>
          <w:b/>
          <w:bCs/>
          <w:color w:val="3A7CA5"/>
          <w:sz w:val="20"/>
          <w:szCs w:val="20"/>
        </w:rPr>
        <w:t xml:space="preserve">4. Consolidate and carry forward (last few minutes)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Help translate insight into something durable — a small commitment, a reframe, a practice. Insight fades; anchored action holds.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“If we wanted to hold onto one thing from today, what would it be?”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“Is there one small thing you’d be willing to try before we meet again?”</w:t>
      </w:r>
    </w:p>
    <w:p>
      <w:pPr>
        <w:pStyle w:val="ListParagraph"/>
        <w:numPr>
          <w:ilvl w:val="0"/>
          <w:numId w:val="2"/>
        </w:numPr>
        <w:spacing w:after="6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“How do you want to remember this — a note, a phrase, an image?”</w:t>
      </w:r>
    </w:p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What to hold lightly</w:t>
      </w:r>
    </w:p>
    <w:tbl>
      <w:tblPr>
        <w:tblW w:type="dxa" w:w="9360"/>
        <w:tblBorders>
          <w:top w:val="single" w:color="E4DECF" w:sz="2"/>
          <w:left w:val="none"/>
          <w:bottom w:val="single" w:color="E4DECF" w:sz="2"/>
          <w:right w:val="none"/>
          <w:insideH w:val="single" w:color="E4DECF" w:sz="2"/>
          <w:insideV w:val="single" w:color="E4DECF" w:sz="2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1F4E5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Lean toward</w:t>
            </w:r>
          </w:p>
        </w:tc>
        <w:tc>
          <w:tcPr>
            <w:tcW w:type="dxa" w:w="4680"/>
            <w:shd w:fill="1F4E5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Ease off</w:t>
            </w:r>
          </w:p>
        </w:tc>
      </w:tr>
      <w:tr>
        <w:tc>
          <w:tcPr>
            <w:tcW w:type="dxa" w:w="468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Open, curious questions that let the client lead</w:t>
            </w:r>
          </w:p>
        </w:tc>
        <w:tc>
          <w:tcPr>
            <w:tcW w:type="dxa" w:w="468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Interpreting the experience for them before they’ve explored it</w:t>
            </w:r>
          </w:p>
        </w:tc>
      </w:tr>
      <w:tr>
        <w:tc>
          <w:tcPr>
            <w:tcW w:type="dxa" w:w="468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Tolerating silence and letting meaning surface</w:t>
            </w:r>
          </w:p>
        </w:tc>
        <w:tc>
          <w:tcPr>
            <w:tcW w:type="dxa" w:w="468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Rushing to “make sense” of everything in one session</w:t>
            </w:r>
          </w:p>
        </w:tc>
      </w:tr>
      <w:tr>
        <w:tc>
          <w:tcPr>
            <w:tcW w:type="dxa" w:w="468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Following affect and somatic cues</w:t>
            </w:r>
          </w:p>
        </w:tc>
        <w:tc>
          <w:tcPr>
            <w:tcW w:type="dxa" w:w="468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Pushing hard toward trauma material the client isn’t reaching for</w:t>
            </w:r>
          </w:p>
        </w:tc>
      </w:tr>
      <w:tr>
        <w:tc>
          <w:tcPr>
            <w:tcW w:type="dxa" w:w="468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Small, concrete commitments the client chooses</w:t>
            </w:r>
          </w:p>
        </w:tc>
        <w:tc>
          <w:tcPr>
            <w:tcW w:type="dxa" w:w="468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Assigning large behavioral goals from your own agenda</w:t>
            </w:r>
          </w:p>
        </w:tc>
      </w:tr>
      <w:tr>
        <w:tc>
          <w:tcPr>
            <w:tcW w:type="dxa" w:w="468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Normalizing difficult or strange content</w:t>
            </w:r>
          </w:p>
        </w:tc>
        <w:tc>
          <w:tcPr>
            <w:tcW w:type="dxa" w:w="468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Treating an unsettling experience as a problem to fix</w:t>
            </w:r>
          </w:p>
        </w:tc>
      </w:tr>
    </w:tbl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A note on difficult sessions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Not every session yields insight or relief. Some clients feel flat, some feel raw, some report little. That’s normal and not a sign the treatment isn’t working. Meet a difficult or empty-feeling session with the same curiosity — the absence of an experience is itself worth exploring, and response often builds across the series rather than in any single session.</w:t>
      </w:r>
    </w:p>
    <w:tbl>
      <w:tblPr>
        <w:tblW w:type="dxa" w:w="9360"/>
        <w:tblBorders>
          <w:top w:val="single" w:color="DAC4C1" w:sz="4"/>
          <w:left w:val="single" w:color="DAC4C1" w:sz="18"/>
          <w:bottom w:val="single" w:color="DAC4C1" w:sz="4"/>
          <w:right w:val="single" w:color="DAC4C1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3EBEA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4E5F"/>
                <w:spacing w:val="40"/>
                <w:sz w:val="15"/>
                <w:szCs w:val="15"/>
              </w:rPr>
              <w:t xml:space="preserve">WHEN SOMETHING CONCERNS YOU</w:t>
            </w:r>
          </w:p>
          <w:p>
            <w:pPr>
              <w:spacing w:after="0" w:line="258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If a client reports worsening mood, new or increased suicidal ideation, unusual dissociation between sessions, or anything that concerns you clinically, contact us the same day. Referring therapists have a direct clinician line — you reach clinical staff, not a phone queue. We’d always rather hear from you early.</w:t>
            </w:r>
          </w:p>
        </w:tc>
      </w:tr>
    </w:tbl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Between sessions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Simple, low-pressure practices help clients hold the window open: brief journaling while impressions are fresh, gentle movement or time outdoors, protecting sleep, and limiting alcohol and other substances that blunt the effect. Keep suggestions light — the goal is to let the shift settle, not to add pressure.</w:t>
      </w:r>
    </w:p>
    <w:tbl>
      <w:tblPr>
        <w:tblW w:type="dxa" w:w="9360"/>
        <w:tblBorders>
          <w:top w:val="single" w:color="E4DECF" w:sz="4"/>
          <w:left w:val="single" w:color="3A7CA5" w:sz="18"/>
          <w:bottom w:val="single" w:color="E4DECF" w:sz="4"/>
          <w:right w:val="single" w:color="E4DECF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1EA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4E5F"/>
                <w:spacing w:val="40"/>
                <w:sz w:val="15"/>
                <w:szCs w:val="15"/>
              </w:rPr>
              <w:t xml:space="preserve">COORDINATING WITH US</w:t>
            </w:r>
          </w:p>
          <w:p>
            <w:pPr>
              <w:spacing w:after="0" w:line="258"/>
            </w:pP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We send response notes after treatment initiation and at mid-series so your integration work stays aligned with what’s happening clinically. Questions about a specific client? Reach us through </w:t>
            </w:r>
            <w:r>
              <w:rPr>
                <w:rFonts w:ascii="Calibri" w:cs="Calibri" w:eastAsia="Calibri" w:hAnsi="Calibri"/>
                <w:b/>
                <w:bCs/>
                <w:color w:val="3A7CA5"/>
                <w:sz w:val="20"/>
                <w:szCs w:val="20"/>
              </w:rPr>
              <w:t xml:space="preserve">seasideketamine.com/for-therapists</w:t>
            </w: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DECF" w:sz="6" w:space="6"/>
      </w:pBdr>
      <w:spacing w:before="60"/>
    </w:pPr>
    <w:r>
      <w:rPr>
        <w:rFonts w:ascii="Calibri" w:cs="Calibri" w:eastAsia="Calibri" w:hAnsi="Calibri"/>
        <w:i/>
        <w:iCs/>
        <w:color w:val="6B7A80"/>
        <w:sz w:val="13"/>
        <w:szCs w:val="13"/>
      </w:rPr>
      <w:t xml:space="preserve">For licensed clinicians. Educational use only — not a substitute for independent clinical judgment.</w:t>
    </w:r>
  </w:p>
  <w:p>
    <w:pPr>
      <w:jc w:val="right"/>
    </w:pPr>
    <w:r>
      <w:rPr>
        <w:rFonts w:ascii="Calibri" w:cs="Calibri" w:eastAsia="Calibri" w:hAnsi="Calibri"/>
        <w:color w:val="6B7A80"/>
        <w:sz w:val="13"/>
        <w:szCs w:val="13"/>
      </w:rPr>
      <w:t xml:space="preserve">Seaside Ketamine  ·  </w:t>
    </w:r>
    <w:r>
      <w:rPr>
        <w:rFonts w:ascii="Calibri" w:cs="Calibri" w:eastAsia="Calibri" w:hAnsi="Calibri"/>
        <w:color w:val="6B7A80"/>
        <w:sz w:val="13"/>
        <w:szCs w:val="13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Calibri" w:cs="Calibri" w:eastAsia="Calibri" w:hAnsi="Calibri"/>
        <w:b/>
        <w:bCs/>
        <w:color w:val="1F4E5F"/>
        <w:spacing w:val="40"/>
        <w:sz w:val="22"/>
        <w:szCs w:val="22"/>
      </w:rPr>
      <w:t xml:space="preserve">SEASIDE KETAMINE</w:t>
    </w:r>
  </w:p>
  <w:p>
    <w:pPr>
      <w:pBdr>
        <w:bottom w:val="single" w:color="3A7CA5" w:sz="10" w:space="6"/>
      </w:pBdr>
      <w:spacing w:after="80"/>
    </w:pPr>
    <w:r>
      <w:rPr>
        <w:rFonts w:ascii="Calibri" w:cs="Calibri" w:eastAsia="Calibri" w:hAnsi="Calibri"/>
        <w:color w:val="6B7A80"/>
        <w:sz w:val="15"/>
        <w:szCs w:val="15"/>
      </w:rPr>
      <w:t xml:space="preserve">Cardiff-by-the-Sea, California  ·  Clinician Resource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  <w:rPr>
        <w:color w:val="3A7CA5"/>
      </w:rPr>
    </w:lvl>
    <w:lvl w:ilvl="1" w15:tentative="1">
      <w:start w:val="1"/>
      <w:numFmt w:val="bullet"/>
      <w:lvlText w:val="–"/>
      <w:lvlJc w:val="left"/>
      <w:pPr>
        <w:ind w:left="700" w:hanging="200"/>
      </w:pPr>
      <w:rPr>
        <w:color w:val="6B7A8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20"/>
      </w:pPr>
      <w:rPr>
        <w:b/>
        <w:bCs/>
        <w:color w:val="1F4E5F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360" w:hanging="240"/>
      </w:pPr>
      <w:rPr>
        <w:color w:val="3A7CA5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2026-07-15T18:12:55.135Z</dcterms:created>
  <dcterms:modified xsi:type="dcterms:W3CDTF">2026-07-15T18:12:55.135Z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