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" w:before="120"/>
      </w:pPr>
      <w:r>
        <w:rPr>
          <w:rFonts w:ascii="Calibri" w:cs="Calibri" w:eastAsia="Calibri" w:hAnsi="Calibri"/>
          <w:b/>
          <w:bCs/>
          <w:color w:val="3A7CA5"/>
          <w:spacing w:val="60"/>
          <w:sz w:val="16"/>
          <w:szCs w:val="16"/>
        </w:rPr>
        <w:t xml:space="preserve">CLINICIAN RESOURCE</w:t>
      </w:r>
    </w:p>
    <w:p>
      <w:pPr>
        <w:spacing w:after="60"/>
      </w:pPr>
      <w:r>
        <w:rPr>
          <w:rFonts w:ascii="Calibri" w:cs="Calibri" w:eastAsia="Calibri" w:hAnsi="Calibri"/>
          <w:b/>
          <w:bCs/>
          <w:color w:val="1F4E5F"/>
          <w:sz w:val="40"/>
          <w:szCs w:val="40"/>
        </w:rPr>
        <w:t xml:space="preserve">Ketamine Candidacy Checklist</w:t>
      </w:r>
    </w:p>
    <w:p>
      <w:pPr>
        <w:spacing w:after="200"/>
      </w:pPr>
      <w:r>
        <w:rPr>
          <w:rFonts w:ascii="Calibri" w:cs="Calibri" w:eastAsia="Calibri" w:hAnsi="Calibri"/>
          <w:color w:val="6B7A80"/>
          <w:sz w:val="20"/>
          <w:szCs w:val="20"/>
        </w:rPr>
        <w:t xml:space="preserve">A pre-screening tool to help you gauge fit before referring — the questions our medical team will also review.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This checklist mirrors the factors our physician-led team weighs during the medical consult. It is a </w:t>
      </w:r>
      <w:r>
        <w:rPr>
          <w:rFonts w:ascii="Calibri" w:cs="Calibri" w:eastAsia="Calibri" w:hAnsi="Calibri"/>
          <w:b/>
          <w:bCs/>
          <w:color w:val="222222"/>
          <w:sz w:val="20"/>
          <w:szCs w:val="20"/>
        </w:rPr>
        <w:t xml:space="preserve">pre-screening aid, not a medical clearance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 — final candidacy is always determined by our clinicians after a full evaluation. Use it to decide whether a referral makes sense and to have a more informed conversation with your client.</w:t>
      </w:r>
    </w:p>
    <w:p>
      <w:pPr>
        <w:keepNext/>
        <w:pBdr>
          <w:bottom w:val="single" w:color="E4DECF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Part 1 · Points in favor of a referral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The more of these that fit, the stronger the case for a conversation with us.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Treatment-resistant depression — two or more adequate antidepressant trials without meaningful response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Depression with prominent anhedonia that hasn’t moved despite consistent therapy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The client is engaged and insightful but has plateaued — understanding is present, change isn’t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PTSD or treatment-resistant anxiety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Chronic suicidal ideation with adequate containment and support in place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Postpartum depression (we coordinate with OB)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The client can access material in session but can’t reach it outside of session</w:t>
      </w:r>
    </w:p>
    <w:p>
      <w:pPr>
        <w:keepNext/>
        <w:pBdr>
          <w:bottom w:val="single" w:color="E4DECF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Part 2 · Factors we screen out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If any of these are present, referral may not be appropriate — but when in doubt, call us rather than assume. Some are absolute; others depend on context and management.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Active psychosis or a primary psychotic disorder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Bipolar I with current or recent mania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Uncontrolled hypertension or unstable cardiovascular disease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Aneurysmal vascular disease, recent myocardial infarction, or recent stroke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Active, unmanaged substance use disorder — particularly a history of ketamine misuse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Pregnancy or actively trying to conceive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No support system for treatment day — no ride home, no one to check in with</w:t>
      </w:r>
    </w:p>
    <w:p>
      <w:pPr>
        <w:pStyle w:val="ListParagraph"/>
        <w:numPr>
          <w:ilvl w:val="0"/>
          <w:numId w:val="2"/>
        </w:numPr>
        <w:spacing w:after="70" w:line="260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The client wants ketamine instead of therapy, not alongside it</w:t>
      </w:r>
    </w:p>
    <w:tbl>
      <w:tblPr>
        <w:tblW w:type="dxa" w:w="9360"/>
        <w:tblBorders>
          <w:top w:val="single" w:color="E4DECF" w:sz="4"/>
          <w:left w:val="single" w:color="3A7CA5" w:sz="18"/>
          <w:bottom w:val="single" w:color="E4DECF" w:sz="4"/>
          <w:right w:val="single" w:color="E4DECF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4F1EA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4E5F"/>
                <w:spacing w:val="40"/>
                <w:sz w:val="15"/>
                <w:szCs w:val="15"/>
              </w:rPr>
              <w:t xml:space="preserve">A NOTE ON SUICIDAL IDEATION</w:t>
            </w:r>
          </w:p>
          <w:p>
            <w:pPr>
              <w:spacing w:after="0" w:line="258"/>
            </w:pPr>
            <w:r>
              <w:rPr>
                <w:rFonts w:ascii="Calibri" w:cs="Calibri" w:eastAsia="Calibri" w:hAnsi="Calibri"/>
                <w:color w:val="222222"/>
                <w:sz w:val="19"/>
                <w:szCs w:val="19"/>
              </w:rPr>
              <w:t xml:space="preserve">Chronic suicidal ideation is not by itself a contraindication — for some clients it is a reason to refer. What matters is containment: a safety plan, support, and stability. If you’re unsure whether a client is contained enough, that’s exactly the kind of case to bring to the 15-minute clinician call.</w:t>
            </w:r>
          </w:p>
        </w:tc>
      </w:tr>
    </w:tbl>
    <w:p>
      <w:pPr>
        <w:keepNext/>
        <w:pBdr>
          <w:bottom w:val="single" w:color="E4DECF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Part 3 · Helpful context to gather before referring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None of this is required to refer — we’ll collect what’s missing — but having it ready speeds the consult and helps us route your client to the right treatment.</w:t>
      </w:r>
    </w:p>
    <w:tbl>
      <w:tblPr>
        <w:tblW w:type="dxa" w:w="9360"/>
        <w:tblBorders>
          <w:top w:val="single" w:color="E4DECF" w:sz="2"/>
          <w:left w:val="none"/>
          <w:bottom w:val="single" w:color="E4DECF" w:sz="2"/>
          <w:right w:val="none"/>
          <w:insideH w:val="single" w:color="E4DECF" w:sz="2"/>
          <w:insideV w:val="single" w:color="E4DECF" w:sz="2"/>
        </w:tblBorders>
      </w:tblPr>
      <w:tblGrid>
        <w:gridCol w:w="2760"/>
        <w:gridCol w:w="6600"/>
      </w:tblGrid>
      <w:tr>
        <w:trPr>
          <w:tblHeader/>
        </w:trPr>
        <w:tc>
          <w:tcPr>
            <w:tcW w:type="dxa" w:w="2760"/>
            <w:shd w:fill="1F4E5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Category</w:t>
            </w:r>
          </w:p>
        </w:tc>
        <w:tc>
          <w:tcPr>
            <w:tcW w:type="dxa" w:w="6600"/>
            <w:shd w:fill="1F4E5F" w:color="auto" w:val="clear"/>
            <w:tcMar>
              <w:top w:type="dxa" w:w="70"/>
              <w:left w:type="dxa" w:w="120"/>
              <w:bottom w:type="dxa" w:w="70"/>
              <w:right w:type="dxa" w:w="120"/>
            </w:tcMar>
          </w:tcPr>
          <w:p>
            <w:r>
              <w:rPr>
                <w:rFonts w:ascii="Calibri" w:cs="Calibri" w:eastAsia="Calibri" w:hAnsi="Calibri"/>
                <w:b/>
                <w:bCs/>
                <w:color w:val="FFFFFF"/>
                <w:sz w:val="18"/>
                <w:szCs w:val="18"/>
              </w:rPr>
              <w:t xml:space="preserve">What’s useful to know</w:t>
            </w:r>
          </w:p>
        </w:tc>
      </w:tr>
      <w:tr>
        <w:tc>
          <w:tcPr>
            <w:tcW w:type="dxa" w:w="276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Diagnosis</w:t>
            </w:r>
          </w:p>
        </w:tc>
        <w:tc>
          <w:tcPr>
            <w:tcW w:type="dxa" w:w="660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Primary and relevant secondary diagnoses; duration; current severity</w:t>
            </w:r>
          </w:p>
        </w:tc>
      </w:tr>
      <w:tr>
        <w:tc>
          <w:tcPr>
            <w:tcW w:type="dxa" w:w="276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Treatment history</w:t>
            </w:r>
          </w:p>
        </w:tc>
        <w:tc>
          <w:tcPr>
            <w:tcW w:type="dxa" w:w="660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Medications tried, doses, duration, and response; prior therapy; any prior ketamine or Spravato</w:t>
            </w:r>
          </w:p>
        </w:tc>
      </w:tr>
      <w:tr>
        <w:tc>
          <w:tcPr>
            <w:tcW w:type="dxa" w:w="276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Current medications</w:t>
            </w:r>
          </w:p>
        </w:tc>
        <w:tc>
          <w:tcPr>
            <w:tcW w:type="dxa" w:w="660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Especially benzodiazepines, stimulants, and blood-pressure medications — these affect planning</w:t>
            </w:r>
          </w:p>
        </w:tc>
      </w:tr>
      <w:tr>
        <w:tc>
          <w:tcPr>
            <w:tcW w:type="dxa" w:w="276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Medical flags</w:t>
            </w:r>
          </w:p>
        </w:tc>
        <w:tc>
          <w:tcPr>
            <w:tcW w:type="dxa" w:w="660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Cardiac history, blood pressure, seizure history, pregnancy status</w:t>
            </w:r>
          </w:p>
        </w:tc>
      </w:tr>
      <w:tr>
        <w:tc>
          <w:tcPr>
            <w:tcW w:type="dxa" w:w="276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Substance use</w:t>
            </w:r>
          </w:p>
        </w:tc>
        <w:tc>
          <w:tcPr>
            <w:tcW w:type="dxa" w:w="660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Current alcohol and substance use; any history of misuse</w:t>
            </w:r>
          </w:p>
        </w:tc>
      </w:tr>
      <w:tr>
        <w:tc>
          <w:tcPr>
            <w:tcW w:type="dxa" w:w="276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Support</w:t>
            </w:r>
          </w:p>
        </w:tc>
        <w:tc>
          <w:tcPr>
            <w:tcW w:type="dxa" w:w="660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Who can provide a ride and check in on treatment days</w:t>
            </w:r>
          </w:p>
        </w:tc>
      </w:tr>
      <w:tr>
        <w:tc>
          <w:tcPr>
            <w:tcW w:type="dxa" w:w="276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Insurance</w:t>
            </w:r>
          </w:p>
        </w:tc>
        <w:tc>
          <w:tcPr>
            <w:tcW w:type="dxa" w:w="6600"/>
            <w:shd w:fill="FFFFFF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Carrier and plan type — relevant if Spravato may be an option</w:t>
            </w:r>
          </w:p>
        </w:tc>
      </w:tr>
      <w:tr>
        <w:tc>
          <w:tcPr>
            <w:tcW w:type="dxa" w:w="276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Goals</w:t>
            </w:r>
          </w:p>
        </w:tc>
        <w:tc>
          <w:tcPr>
            <w:tcW w:type="dxa" w:w="6600"/>
            <w:shd w:fill="F4F1EA" w:color="auto" w:val="clear"/>
            <w:tcMar>
              <w:top w:type="dxa" w:w="60"/>
              <w:left w:type="dxa" w:w="120"/>
              <w:bottom w:type="dxa" w:w="60"/>
              <w:right w:type="dxa" w:w="120"/>
            </w:tcMar>
          </w:tcPr>
          <w:p>
            <w:pPr>
              <w:spacing w:after="0" w:line="252"/>
            </w:pPr>
            <w:r>
              <w:rPr>
                <w:rFonts w:ascii="Calibri" w:cs="Calibri" w:eastAsia="Calibri" w:hAnsi="Calibri"/>
                <w:color w:val="222222"/>
                <w:sz w:val="18"/>
                <w:szCs w:val="18"/>
              </w:rPr>
              <w:t xml:space="preserve">What you and the client are hoping treatment opens up</w:t>
            </w:r>
          </w:p>
        </w:tc>
      </w:tr>
    </w:tbl>
    <w:p>
      <w:pPr>
        <w:keepNext/>
        <w:pBdr>
          <w:bottom w:val="single" w:color="E4DECF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Part 4 · Deciding what to do next</w:t>
      </w:r>
    </w:p>
    <w:tbl>
      <w:tblPr>
        <w:tblW w:type="dxa" w:w="9360"/>
        <w:tblBorders>
          <w:top w:val="single" w:color="BBD4C0" w:sz="4"/>
          <w:left w:val="single" w:color="BBD4C0" w:sz="18"/>
          <w:bottom w:val="single" w:color="BBD4C0" w:sz="4"/>
          <w:right w:val="single" w:color="BBD4C0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EAF2EC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4E5F"/>
                <w:spacing w:val="40"/>
                <w:sz w:val="15"/>
                <w:szCs w:val="15"/>
              </w:rPr>
              <w:t xml:space="preserve">MOST BOXES IN PART 1, NONE IN PART 2</w:t>
            </w:r>
          </w:p>
          <w:p>
            <w:pPr>
              <w:spacing w:after="0" w:line="258"/>
            </w:pPr>
            <w:r>
              <w:rPr>
                <w:rFonts w:ascii="Calibri" w:cs="Calibri" w:eastAsia="Calibri" w:hAnsi="Calibri"/>
                <w:b/>
                <w:bCs/>
                <w:color w:val="222222"/>
                <w:sz w:val="20"/>
                <w:szCs w:val="20"/>
              </w:rPr>
              <w:t xml:space="preserve">Strong candidate. </w:t>
            </w: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Refer directly — we’ll complete the full medical screening and report back before any treatment begins.</w:t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E4DECF" w:sz="4"/>
          <w:left w:val="single" w:color="3A7CA5" w:sz="18"/>
          <w:bottom w:val="single" w:color="E4DECF" w:sz="4"/>
          <w:right w:val="single" w:color="E4DECF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4F1EA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4E5F"/>
                <w:spacing w:val="40"/>
                <w:sz w:val="15"/>
                <w:szCs w:val="15"/>
              </w:rPr>
              <w:t xml:space="preserve">A MIX, OR SOMETHING IN PART 2 YOU’RE UNSURE ABOUT</w:t>
            </w:r>
          </w:p>
          <w:p>
            <w:pPr>
              <w:spacing w:after="0" w:line="258"/>
            </w:pPr>
            <w:r>
              <w:rPr>
                <w:rFonts w:ascii="Calibri" w:cs="Calibri" w:eastAsia="Calibri" w:hAnsi="Calibri"/>
                <w:b/>
                <w:bCs/>
                <w:color w:val="222222"/>
                <w:sz w:val="20"/>
                <w:szCs w:val="20"/>
              </w:rPr>
              <w:t xml:space="preserve">Bring it to the call. </w:t>
            </w: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Book a 15-minute clinician-to-clinician consult. We’re comfortable saying no early, and we’d rather help you decide than have you guess.</w:t>
            </w:r>
          </w:p>
        </w:tc>
      </w:tr>
    </w:tbl>
    <w:p>
      <w:pPr>
        <w:spacing w:after="80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DAC4C1" w:sz="4"/>
          <w:left w:val="single" w:color="DAC4C1" w:sz="18"/>
          <w:bottom w:val="single" w:color="DAC4C1" w:sz="4"/>
          <w:right w:val="single" w:color="DAC4C1" w:sz="4"/>
          <w:insideH w:val="none"/>
          <w:insideV w:val="none"/>
        </w:tblBorders>
      </w:tblPr>
      <w:tblGrid>
        <w:gridCol w:w="9360"/>
      </w:tblGrid>
      <w:tr>
        <w:tc>
          <w:tcPr>
            <w:tcW w:type="dxa" w:w="9360"/>
            <w:shd w:fill="F3EBEA" w:color="auto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after="40"/>
            </w:pPr>
            <w:r>
              <w:rPr>
                <w:rFonts w:ascii="Calibri" w:cs="Calibri" w:eastAsia="Calibri" w:hAnsi="Calibri"/>
                <w:b/>
                <w:bCs/>
                <w:color w:val="1F4E5F"/>
                <w:spacing w:val="40"/>
                <w:sz w:val="15"/>
                <w:szCs w:val="15"/>
              </w:rPr>
              <w:t xml:space="preserve">CLEAR CONTRAINDICATION IN PART 2</w:t>
            </w:r>
          </w:p>
          <w:p>
            <w:pPr>
              <w:spacing w:after="0" w:line="258"/>
            </w:pPr>
            <w:r>
              <w:rPr>
                <w:rFonts w:ascii="Calibri" w:cs="Calibri" w:eastAsia="Calibri" w:hAnsi="Calibri"/>
                <w:b/>
                <w:bCs/>
                <w:color w:val="222222"/>
                <w:sz w:val="20"/>
                <w:szCs w:val="20"/>
              </w:rPr>
              <w:t xml:space="preserve">Hold off — but still reach out if useful. </w:t>
            </w:r>
            <w:r>
              <w:rPr>
                <w:rFonts w:ascii="Calibri" w:cs="Calibri" w:eastAsia="Calibri" w:hAnsi="Calibri"/>
                <w:color w:val="222222"/>
                <w:sz w:val="20"/>
                <w:szCs w:val="20"/>
              </w:rPr>
              <w:t xml:space="preserve">If ketamine isn’t appropriate, we’re glad to point you and your client toward alternatives where we can.</w:t>
            </w:r>
          </w:p>
        </w:tc>
      </w:tr>
    </w:tbl>
    <w:p>
      <w:pPr>
        <w:keepNext/>
        <w:pBdr>
          <w:bottom w:val="single" w:color="E4DECF" w:sz="6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1F4E5F"/>
          <w:sz w:val="24"/>
          <w:szCs w:val="24"/>
        </w:rPr>
        <w:t xml:space="preserve">Referring</w:t>
      </w:r>
    </w:p>
    <w:p>
      <w:pPr>
        <w:spacing w:after="120" w:line="264"/>
      </w:pPr>
      <w:r>
        <w:rPr>
          <w:rFonts w:ascii="Calibri" w:cs="Calibri" w:eastAsia="Calibri" w:hAnsi="Calibri"/>
          <w:color w:val="222222"/>
          <w:sz w:val="20"/>
          <w:szCs w:val="20"/>
        </w:rPr>
        <w:t xml:space="preserve">Referrals take about two minutes and we acknowledge them the same day. Refer or book a clinician call at </w:t>
      </w:r>
      <w:r>
        <w:rPr>
          <w:rFonts w:ascii="Calibri" w:cs="Calibri" w:eastAsia="Calibri" w:hAnsi="Calibri"/>
          <w:b/>
          <w:bCs/>
          <w:color w:val="3A7CA5"/>
          <w:sz w:val="20"/>
          <w:szCs w:val="20"/>
        </w:rPr>
        <w:t xml:space="preserve">seasideketamine.com/for-therapists</w:t>
      </w:r>
      <w:r>
        <w:rPr>
          <w:rFonts w:ascii="Calibri" w:cs="Calibri" w:eastAsia="Calibri" w:hAnsi="Calibri"/>
          <w:color w:val="222222"/>
          <w:sz w:val="20"/>
          <w:szCs w:val="20"/>
        </w:rPr>
        <w:t xml:space="preserve">. Coordination requires a signed release of information from your client, which we can send at the point of referral.</w:t>
      </w:r>
    </w:p>
    <w:sectPr>
      <w:headerReference w:type="default" r:id="rId7"/>
      <w:footerReference w:type="default" r:id="rId8"/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E4DECF" w:sz="6" w:space="6"/>
      </w:pBdr>
      <w:spacing w:before="60"/>
    </w:pPr>
    <w:r>
      <w:rPr>
        <w:rFonts w:ascii="Calibri" w:cs="Calibri" w:eastAsia="Calibri" w:hAnsi="Calibri"/>
        <w:i/>
        <w:iCs/>
        <w:color w:val="6B7A80"/>
        <w:sz w:val="13"/>
        <w:szCs w:val="13"/>
      </w:rPr>
      <w:t xml:space="preserve">For licensed clinicians. Educational use only — not a substitute for independent clinical judgment.</w:t>
    </w:r>
  </w:p>
  <w:p>
    <w:pPr>
      <w:jc w:val="right"/>
    </w:pPr>
    <w:r>
      <w:rPr>
        <w:rFonts w:ascii="Calibri" w:cs="Calibri" w:eastAsia="Calibri" w:hAnsi="Calibri"/>
        <w:color w:val="6B7A80"/>
        <w:sz w:val="13"/>
        <w:szCs w:val="13"/>
      </w:rPr>
      <w:t xml:space="preserve">Seaside Ketamine  ·  </w:t>
    </w:r>
    <w:r>
      <w:rPr>
        <w:rFonts w:ascii="Calibri" w:cs="Calibri" w:eastAsia="Calibri" w:hAnsi="Calibri"/>
        <w:color w:val="6B7A80"/>
        <w:sz w:val="13"/>
        <w:szCs w:val="13"/>
      </w:rPr>
      <w:t xml:space="preserve">Page </w:t>
      <w:fldChar w:fldCharType="begin"/>
      <w:instrText xml:space="preserve">PAGE</w:instrText>
      <w:fldChar w:fldCharType="separate"/>
      <w:fldChar w:fldCharType="end"/>
      <w:t xml:space="preserve"> of </w:t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40"/>
    </w:pPr>
    <w:r>
      <w:rPr>
        <w:rFonts w:ascii="Calibri" w:cs="Calibri" w:eastAsia="Calibri" w:hAnsi="Calibri"/>
        <w:b/>
        <w:bCs/>
        <w:color w:val="1F4E5F"/>
        <w:spacing w:val="40"/>
        <w:sz w:val="22"/>
        <w:szCs w:val="22"/>
      </w:rPr>
      <w:t xml:space="preserve">SEASIDE KETAMINE</w:t>
    </w:r>
  </w:p>
  <w:p>
    <w:pPr>
      <w:pBdr>
        <w:bottom w:val="single" w:color="3A7CA5" w:sz="10" w:space="6"/>
      </w:pBdr>
      <w:spacing w:after="80"/>
    </w:pPr>
    <w:r>
      <w:rPr>
        <w:rFonts w:ascii="Calibri" w:cs="Calibri" w:eastAsia="Calibri" w:hAnsi="Calibri"/>
        <w:color w:val="6B7A80"/>
        <w:sz w:val="15"/>
        <w:szCs w:val="15"/>
      </w:rPr>
      <w:t xml:space="preserve">Cardiff-by-the-Sea, California  ·  Clinician Resource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40" w:hanging="200"/>
      </w:pPr>
      <w:rPr>
        <w:color w:val="3A7CA5"/>
      </w:rPr>
    </w:lvl>
    <w:lvl w:ilvl="1" w15:tentative="1">
      <w:start w:val="1"/>
      <w:numFmt w:val="bullet"/>
      <w:lvlText w:val="–"/>
      <w:lvlJc w:val="left"/>
      <w:pPr>
        <w:ind w:left="700" w:hanging="200"/>
      </w:pPr>
      <w:rPr>
        <w:color w:val="6B7A80"/>
      </w:r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360" w:hanging="220"/>
      </w:pPr>
      <w:rPr>
        <w:b/>
        <w:bCs/>
        <w:color w:val="1F4E5F"/>
      </w:r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360" w:hanging="240"/>
      </w:pPr>
      <w:rPr>
        <w:color w:val="3A7CA5"/>
        <w:sz w:val="24"/>
        <w:szCs w:val="24"/>
      </w:rPr>
    </w:lvl>
  </w:abstractNum>
  <w:num w:numId="1">
    <w:abstractNumId w:val="1"/>
    <w:lvlOverride w:ilvl="0">
      <w:startOverride w:val="1"/>
    </w:lvlOverride>
  </w:num>
  <w:num w:numId="2">
    <w:abstractNumId w:val="4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2026-07-15T18:12:55.307Z</dcterms:created>
  <dcterms:modified xsi:type="dcterms:W3CDTF">2026-07-15T18:12:55.307Z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