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before="120"/>
      </w:pPr>
      <w:r>
        <w:rPr>
          <w:rFonts w:ascii="Calibri" w:cs="Calibri" w:eastAsia="Calibri" w:hAnsi="Calibri"/>
          <w:b/>
          <w:bCs/>
          <w:color w:val="3A7CA5"/>
          <w:spacing w:val="60"/>
          <w:sz w:val="16"/>
          <w:szCs w:val="16"/>
        </w:rPr>
        <w:t xml:space="preserve">CLINICIAN RESOURCE</w:t>
      </w:r>
    </w:p>
    <w:p>
      <w:pPr>
        <w:spacing w:after="60"/>
      </w:pPr>
      <w:r>
        <w:rPr>
          <w:rFonts w:ascii="Calibri" w:cs="Calibri" w:eastAsia="Calibri" w:hAnsi="Calibri"/>
          <w:b/>
          <w:bCs/>
          <w:color w:val="1F4E5F"/>
          <w:sz w:val="40"/>
          <w:szCs w:val="40"/>
        </w:rPr>
        <w:t xml:space="preserve">Spravato® Insurance Quick Reference</w:t>
      </w:r>
    </w:p>
    <w:p>
      <w:pPr>
        <w:spacing w:after="200"/>
      </w:pPr>
      <w:r>
        <w:rPr>
          <w:rFonts w:ascii="Calibri" w:cs="Calibri" w:eastAsia="Calibri" w:hAnsi="Calibri"/>
          <w:color w:val="6B7A80"/>
          <w:sz w:val="20"/>
          <w:szCs w:val="20"/>
        </w:rPr>
        <w:t xml:space="preserve">What’s covered, what payers require, and what “two failed trials” actually means — for referring therapists.</w:t>
      </w:r>
    </w:p>
    <w:p>
      <w:pPr>
        <w:spacing w:after="120" w:line="264"/>
      </w:pPr>
      <w:r>
        <w:rPr>
          <w:rFonts w:ascii="Calibri" w:cs="Calibri" w:eastAsia="Calibri" w:hAnsi="Calibri"/>
          <w:color w:val="222222"/>
          <w:sz w:val="20"/>
          <w:szCs w:val="20"/>
        </w:rPr>
        <w:t xml:space="preserve">Cost is the single most common reason a ketamine referral stalls — and it’s often based on a false assumption. Unlike IV ketamine, which is self-pay, </w:t>
      </w:r>
      <w:r>
        <w:rPr>
          <w:rFonts w:ascii="Calibri" w:cs="Calibri" w:eastAsia="Calibri" w:hAnsi="Calibri"/>
          <w:b/>
          <w:bCs/>
          <w:color w:val="222222"/>
          <w:sz w:val="20"/>
          <w:szCs w:val="20"/>
        </w:rPr>
        <w:t xml:space="preserve">Spravato (esketamine) is frequently covered by insurance</w:t>
      </w:r>
      <w:r>
        <w:rPr>
          <w:rFonts w:ascii="Calibri" w:cs="Calibri" w:eastAsia="Calibri" w:hAnsi="Calibri"/>
          <w:color w:val="222222"/>
          <w:sz w:val="20"/>
          <w:szCs w:val="20"/>
        </w:rPr>
        <w:t xml:space="preserve">. This one-pager gives you enough to have an informed conversation with your client. Coverage details vary by plan, so our team verifies benefits for every client before treatment begins.</w:t>
      </w:r>
    </w:p>
    <w:tbl>
      <w:tblPr>
        <w:tblW w:type="dxa" w:w="9360"/>
        <w:tblBorders>
          <w:top w:val="single" w:color="E4DECF" w:sz="4"/>
          <w:left w:val="single" w:color="3A7CA5" w:sz="18"/>
          <w:bottom w:val="single" w:color="E4DECF" w:sz="4"/>
          <w:right w:val="single" w:color="E4DECF" w:sz="4"/>
          <w:insideH w:val="none"/>
          <w:insideV w:val="none"/>
        </w:tblBorders>
      </w:tblPr>
      <w:tblGrid>
        <w:gridCol w:w="9360"/>
      </w:tblGrid>
      <w:tr>
        <w:tc>
          <w:tcPr>
            <w:tcW w:type="dxa" w:w="9360"/>
            <w:shd w:fill="F4F1EA" w:color="auto" w:val="clear"/>
            <w:tcMar>
              <w:top w:type="dxa" w:w="120"/>
              <w:left w:type="dxa" w:w="160"/>
              <w:bottom w:type="dxa" w:w="120"/>
              <w:right w:type="dxa" w:w="160"/>
            </w:tcMar>
          </w:tcPr>
          <w:p>
            <w:pPr>
              <w:spacing w:after="40"/>
            </w:pPr>
            <w:r>
              <w:rPr>
                <w:rFonts w:ascii="Calibri" w:cs="Calibri" w:eastAsia="Calibri" w:hAnsi="Calibri"/>
                <w:b/>
                <w:bCs/>
                <w:color w:val="1F4E5F"/>
                <w:spacing w:val="40"/>
                <w:sz w:val="15"/>
                <w:szCs w:val="15"/>
              </w:rPr>
              <w:t xml:space="preserve">THE SHORT VERSION</w:t>
            </w:r>
          </w:p>
          <w:p>
            <w:pPr>
              <w:spacing w:after="0" w:line="258"/>
            </w:pPr>
            <w:r>
              <w:rPr>
                <w:rFonts w:ascii="Calibri" w:cs="Calibri" w:eastAsia="Calibri" w:hAnsi="Calibri"/>
                <w:color w:val="222222"/>
                <w:sz w:val="19"/>
                <w:szCs w:val="19"/>
              </w:rPr>
              <w:t xml:space="preserve">If your client has failed two or more antidepressants in the current episode and has commercial insurance, Medicare Part B, or Tricare, Spravato is worth pursuing. We handle the benefit check and prior authorization. Tell your client the cost question has an answer before they decide anything.</w:t>
            </w:r>
          </w:p>
        </w:tc>
      </w:tr>
    </w:tbl>
    <w:p>
      <w:pPr>
        <w:keepNext/>
        <w:pBdr>
          <w:bottom w:val="single" w:color="E4DECF" w:sz="6" w:space="4"/>
        </w:pBdr>
        <w:spacing w:after="80" w:before="240"/>
      </w:pPr>
      <w:r>
        <w:rPr>
          <w:rFonts w:ascii="Calibri" w:cs="Calibri" w:eastAsia="Calibri" w:hAnsi="Calibri"/>
          <w:b/>
          <w:bCs/>
          <w:color w:val="1F4E5F"/>
          <w:sz w:val="24"/>
          <w:szCs w:val="24"/>
        </w:rPr>
        <w:t xml:space="preserve">What Spravato is</w:t>
      </w:r>
    </w:p>
    <w:p>
      <w:pPr>
        <w:spacing w:after="120" w:line="264"/>
      </w:pPr>
      <w:r>
        <w:rPr>
          <w:rFonts w:ascii="Calibri" w:cs="Calibri" w:eastAsia="Calibri" w:hAnsi="Calibri"/>
          <w:color w:val="222222"/>
          <w:sz w:val="20"/>
          <w:szCs w:val="20"/>
        </w:rPr>
        <w:t xml:space="preserve">Spravato is an FDA-approved intranasal form of esketamine, administered </w:t>
      </w:r>
      <w:r>
        <w:rPr>
          <w:rFonts w:ascii="Calibri" w:cs="Calibri" w:eastAsia="Calibri" w:hAnsi="Calibri"/>
          <w:b/>
          <w:bCs/>
          <w:color w:val="222222"/>
          <w:sz w:val="20"/>
          <w:szCs w:val="20"/>
        </w:rPr>
        <w:t xml:space="preserve">only in a certified healthcare setting under the Spravato REMS program</w:t>
      </w:r>
      <w:r>
        <w:rPr>
          <w:rFonts w:ascii="Calibri" w:cs="Calibri" w:eastAsia="Calibri" w:hAnsi="Calibri"/>
          <w:color w:val="222222"/>
          <w:sz w:val="20"/>
          <w:szCs w:val="20"/>
        </w:rPr>
        <w:t xml:space="preserve">. It is taken together with an oral antidepressant. Because it must be given on-site and the patient is monitored for two hours afterward, it is billed through the medical benefit rather than the pharmacy benefit — which is why coverage often works differently (and better) than clients expect.</w:t>
      </w:r>
    </w:p>
    <w:p>
      <w:pPr>
        <w:keepNext/>
        <w:pBdr>
          <w:bottom w:val="single" w:color="E4DECF" w:sz="6" w:space="4"/>
        </w:pBdr>
        <w:spacing w:after="80" w:before="240"/>
      </w:pPr>
      <w:r>
        <w:rPr>
          <w:rFonts w:ascii="Calibri" w:cs="Calibri" w:eastAsia="Calibri" w:hAnsi="Calibri"/>
          <w:b/>
          <w:bCs/>
          <w:color w:val="1F4E5F"/>
          <w:sz w:val="24"/>
          <w:szCs w:val="24"/>
        </w:rPr>
        <w:t xml:space="preserve">FDA-approved indications</w:t>
      </w:r>
    </w:p>
    <w:p>
      <w:pPr>
        <w:spacing w:after="120" w:line="264"/>
      </w:pPr>
      <w:r>
        <w:rPr>
          <w:rFonts w:ascii="Calibri" w:cs="Calibri" w:eastAsia="Calibri" w:hAnsi="Calibri"/>
          <w:color w:val="222222"/>
          <w:sz w:val="20"/>
          <w:szCs w:val="20"/>
        </w:rPr>
        <w:t xml:space="preserve">Payers generally follow the label. Spravato is approved for:</w:t>
      </w:r>
    </w:p>
    <w:p>
      <w:pPr>
        <w:pStyle w:val="ListParagraph"/>
        <w:numPr>
          <w:ilvl w:val="0"/>
          <w:numId w:val="2"/>
        </w:numPr>
        <w:spacing w:after="60" w:line="260"/>
      </w:pPr>
      <w:r>
        <w:rPr>
          <w:rFonts w:ascii="Calibri" w:cs="Calibri" w:eastAsia="Calibri" w:hAnsi="Calibri"/>
          <w:b/>
          <w:bCs/>
          <w:color w:val="222222"/>
          <w:sz w:val="20"/>
          <w:szCs w:val="20"/>
        </w:rPr>
        <w:t xml:space="preserve">Treatment-resistant depression (TRD) in adults </w:t>
      </w:r>
      <w:r>
        <w:rPr>
          <w:rFonts w:ascii="Calibri" w:cs="Calibri" w:eastAsia="Calibri" w:hAnsi="Calibri"/>
          <w:color w:val="222222"/>
          <w:sz w:val="20"/>
          <w:szCs w:val="20"/>
        </w:rPr>
        <w:t xml:space="preserve">— defined as an inadequate response to two or more antidepressants of adequate dose and duration in the current depressive episode.</w:t>
      </w:r>
    </w:p>
    <w:p>
      <w:pPr>
        <w:pStyle w:val="ListParagraph"/>
        <w:numPr>
          <w:ilvl w:val="0"/>
          <w:numId w:val="2"/>
        </w:numPr>
        <w:spacing w:after="60" w:line="260"/>
      </w:pPr>
      <w:r>
        <w:rPr>
          <w:rFonts w:ascii="Calibri" w:cs="Calibri" w:eastAsia="Calibri" w:hAnsi="Calibri"/>
          <w:b/>
          <w:bCs/>
          <w:color w:val="222222"/>
          <w:sz w:val="20"/>
          <w:szCs w:val="20"/>
        </w:rPr>
        <w:t xml:space="preserve">Depressive symptoms in adults with major depressive disorder and acute suicidal ideation or behavior </w:t>
      </w:r>
      <w:r>
        <w:rPr>
          <w:rFonts w:ascii="Calibri" w:cs="Calibri" w:eastAsia="Calibri" w:hAnsi="Calibri"/>
          <w:color w:val="222222"/>
          <w:sz w:val="20"/>
          <w:szCs w:val="20"/>
        </w:rPr>
        <w:t xml:space="preserve">(MDSI).</w:t>
      </w:r>
    </w:p>
    <w:p>
      <w:pPr>
        <w:spacing w:after="120" w:line="264"/>
      </w:pPr>
      <w:r>
        <w:rPr>
          <w:rFonts w:ascii="Calibri" w:cs="Calibri" w:eastAsia="Calibri" w:hAnsi="Calibri"/>
          <w:color w:val="222222"/>
          <w:sz w:val="20"/>
          <w:szCs w:val="20"/>
        </w:rPr>
        <w:t xml:space="preserve">A recent label update also supports its use as a standalone (monotherapy) option for TRD in adults. Our clinicians confirm which indication applies during the consult.</w:t>
      </w:r>
    </w:p>
    <w:p>
      <w:pPr>
        <w:keepNext/>
        <w:pBdr>
          <w:bottom w:val="single" w:color="E4DECF" w:sz="6" w:space="4"/>
        </w:pBdr>
        <w:spacing w:after="80" w:before="240"/>
      </w:pPr>
      <w:r>
        <w:rPr>
          <w:rFonts w:ascii="Calibri" w:cs="Calibri" w:eastAsia="Calibri" w:hAnsi="Calibri"/>
          <w:b/>
          <w:bCs/>
          <w:color w:val="1F4E5F"/>
          <w:sz w:val="24"/>
          <w:szCs w:val="24"/>
        </w:rPr>
        <w:t xml:space="preserve">What “two failed trials” means to a payer</w:t>
      </w:r>
    </w:p>
    <w:p>
      <w:pPr>
        <w:spacing w:after="120" w:line="264"/>
      </w:pPr>
      <w:r>
        <w:rPr>
          <w:rFonts w:ascii="Calibri" w:cs="Calibri" w:eastAsia="Calibri" w:hAnsi="Calibri"/>
          <w:color w:val="222222"/>
          <w:sz w:val="20"/>
          <w:szCs w:val="20"/>
        </w:rPr>
        <w:t xml:space="preserve">This phrase carries specific weight in a prior authorization. For an antidepressant trial to “count,” payers typically expect:</w:t>
      </w:r>
    </w:p>
    <w:tbl>
      <w:tblPr>
        <w:tblW w:type="dxa" w:w="9360"/>
        <w:tblBorders>
          <w:top w:val="single" w:color="E4DECF" w:sz="2"/>
          <w:left w:val="none"/>
          <w:bottom w:val="single" w:color="E4DECF" w:sz="2"/>
          <w:right w:val="none"/>
          <w:insideH w:val="single" w:color="E4DECF" w:sz="2"/>
          <w:insideV w:val="single" w:color="E4DECF" w:sz="2"/>
        </w:tblBorders>
      </w:tblPr>
      <w:tblGrid>
        <w:gridCol w:w="3000"/>
        <w:gridCol w:w="6360"/>
      </w:tblGrid>
      <w:tr>
        <w:trPr>
          <w:tblHeader/>
        </w:trPr>
        <w:tc>
          <w:tcPr>
            <w:tcW w:type="dxa" w:w="3000"/>
            <w:shd w:fill="1F4E5F" w:color="auto" w:val="clear"/>
            <w:tcMar>
              <w:top w:type="dxa" w:w="70"/>
              <w:left w:type="dxa" w:w="120"/>
              <w:bottom w:type="dxa" w:w="70"/>
              <w:right w:type="dxa" w:w="120"/>
            </w:tcMar>
          </w:tcPr>
          <w:p>
            <w:r>
              <w:rPr>
                <w:rFonts w:ascii="Calibri" w:cs="Calibri" w:eastAsia="Calibri" w:hAnsi="Calibri"/>
                <w:b/>
                <w:bCs/>
                <w:color w:val="FFFFFF"/>
                <w:sz w:val="18"/>
                <w:szCs w:val="18"/>
              </w:rPr>
              <w:t xml:space="preserve">Payer expectation</w:t>
            </w:r>
          </w:p>
        </w:tc>
        <w:tc>
          <w:tcPr>
            <w:tcW w:type="dxa" w:w="6360"/>
            <w:shd w:fill="1F4E5F" w:color="auto" w:val="clear"/>
            <w:tcMar>
              <w:top w:type="dxa" w:w="70"/>
              <w:left w:type="dxa" w:w="120"/>
              <w:bottom w:type="dxa" w:w="70"/>
              <w:right w:type="dxa" w:w="120"/>
            </w:tcMar>
          </w:tcPr>
          <w:p>
            <w:r>
              <w:rPr>
                <w:rFonts w:ascii="Calibri" w:cs="Calibri" w:eastAsia="Calibri" w:hAnsi="Calibri"/>
                <w:b/>
                <w:bCs/>
                <w:color w:val="FFFFFF"/>
                <w:sz w:val="18"/>
                <w:szCs w:val="18"/>
              </w:rPr>
              <w:t xml:space="preserve">What it means in practice</w:t>
            </w:r>
          </w:p>
        </w:tc>
      </w:tr>
      <w:tr>
        <w:tc>
          <w:tcPr>
            <w:tcW w:type="dxa" w:w="300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Adequate dose</w:t>
            </w:r>
          </w:p>
        </w:tc>
        <w:tc>
          <w:tcPr>
            <w:tcW w:type="dxa" w:w="636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The medication was titrated to a therapeutic dose, not just started</w:t>
            </w:r>
          </w:p>
        </w:tc>
      </w:tr>
      <w:tr>
        <w:tc>
          <w:tcPr>
            <w:tcW w:type="dxa" w:w="3000"/>
            <w:shd w:fill="F4F1EA"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Adequate duration</w:t>
            </w:r>
          </w:p>
        </w:tc>
        <w:tc>
          <w:tcPr>
            <w:tcW w:type="dxa" w:w="6360"/>
            <w:shd w:fill="F4F1EA"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Usually at least 6 weeks at that dose — a two-week trial generally won’t qualify</w:t>
            </w:r>
          </w:p>
        </w:tc>
      </w:tr>
      <w:tr>
        <w:tc>
          <w:tcPr>
            <w:tcW w:type="dxa" w:w="300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Current episode</w:t>
            </w:r>
          </w:p>
        </w:tc>
        <w:tc>
          <w:tcPr>
            <w:tcW w:type="dxa" w:w="636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The trials occurred during the present depressive episode, not years ago</w:t>
            </w:r>
          </w:p>
        </w:tc>
      </w:tr>
      <w:tr>
        <w:tc>
          <w:tcPr>
            <w:tcW w:type="dxa" w:w="3000"/>
            <w:shd w:fill="F4F1EA"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Documented response</w:t>
            </w:r>
          </w:p>
        </w:tc>
        <w:tc>
          <w:tcPr>
            <w:tcW w:type="dxa" w:w="6360"/>
            <w:shd w:fill="F4F1EA"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The chart reflects inadequate response or non-response, not just a switch for side effects</w:t>
            </w:r>
          </w:p>
        </w:tc>
      </w:tr>
      <w:tr>
        <w:tc>
          <w:tcPr>
            <w:tcW w:type="dxa" w:w="300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Different agents</w:t>
            </w:r>
          </w:p>
        </w:tc>
        <w:tc>
          <w:tcPr>
            <w:tcW w:type="dxa" w:w="636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Two distinct antidepressants — not the same drug tried twice</w:t>
            </w:r>
          </w:p>
        </w:tc>
      </w:tr>
    </w:tbl>
    <w:tbl>
      <w:tblPr>
        <w:tblW w:type="dxa" w:w="9360"/>
        <w:tblBorders>
          <w:top w:val="single" w:color="BBD4C0" w:sz="4"/>
          <w:left w:val="single" w:color="BBD4C0" w:sz="18"/>
          <w:bottom w:val="single" w:color="BBD4C0" w:sz="4"/>
          <w:right w:val="single" w:color="BBD4C0" w:sz="4"/>
          <w:insideH w:val="none"/>
          <w:insideV w:val="none"/>
        </w:tblBorders>
      </w:tblPr>
      <w:tblGrid>
        <w:gridCol w:w="9360"/>
      </w:tblGrid>
      <w:tr>
        <w:tc>
          <w:tcPr>
            <w:tcW w:type="dxa" w:w="9360"/>
            <w:shd w:fill="EAF2EC" w:color="auto" w:val="clear"/>
            <w:tcMar>
              <w:top w:type="dxa" w:w="120"/>
              <w:left w:type="dxa" w:w="160"/>
              <w:bottom w:type="dxa" w:w="120"/>
              <w:right w:type="dxa" w:w="160"/>
            </w:tcMar>
          </w:tcPr>
          <w:p>
            <w:pPr>
              <w:spacing w:after="40"/>
            </w:pPr>
            <w:r>
              <w:rPr>
                <w:rFonts w:ascii="Calibri" w:cs="Calibri" w:eastAsia="Calibri" w:hAnsi="Calibri"/>
                <w:b/>
                <w:bCs/>
                <w:color w:val="1F4E5F"/>
                <w:spacing w:val="40"/>
                <w:sz w:val="15"/>
                <w:szCs w:val="15"/>
              </w:rPr>
              <w:t xml:space="preserve">WHERE YOU CAN HELP</w:t>
            </w:r>
          </w:p>
          <w:p>
            <w:pPr>
              <w:spacing w:after="0" w:line="258"/>
            </w:pPr>
            <w:r>
              <w:rPr>
                <w:rFonts w:ascii="Calibri" w:cs="Calibri" w:eastAsia="Calibri" w:hAnsi="Calibri"/>
                <w:color w:val="222222"/>
                <w:sz w:val="19"/>
                <w:szCs w:val="19"/>
              </w:rPr>
              <w:t xml:space="preserve">Your treatment notes are often the cleanest record of what’s been tried and how the client responded. When you refer, a short medication history — drug, dose, duration, response — can meaningfully speed up the prior authorization. It’s the documentation payers most often ask for.</w:t>
            </w:r>
          </w:p>
        </w:tc>
      </w:tr>
    </w:tbl>
    <w:p>
      <w:pPr>
        <w:keepNext/>
        <w:pBdr>
          <w:bottom w:val="single" w:color="E4DECF" w:sz="6" w:space="4"/>
        </w:pBdr>
        <w:spacing w:after="80" w:before="240"/>
      </w:pPr>
      <w:r>
        <w:rPr>
          <w:rFonts w:ascii="Calibri" w:cs="Calibri" w:eastAsia="Calibri" w:hAnsi="Calibri"/>
          <w:b/>
          <w:bCs/>
          <w:color w:val="1F4E5F"/>
          <w:sz w:val="24"/>
          <w:szCs w:val="24"/>
        </w:rPr>
        <w:t xml:space="preserve">How coverage typically works by plan type</w:t>
      </w:r>
    </w:p>
    <w:tbl>
      <w:tblPr>
        <w:tblW w:type="dxa" w:w="9360"/>
        <w:tblBorders>
          <w:top w:val="single" w:color="E4DECF" w:sz="2"/>
          <w:left w:val="none"/>
          <w:bottom w:val="single" w:color="E4DECF" w:sz="2"/>
          <w:right w:val="none"/>
          <w:insideH w:val="single" w:color="E4DECF" w:sz="2"/>
          <w:insideV w:val="single" w:color="E4DECF" w:sz="2"/>
        </w:tblBorders>
      </w:tblPr>
      <w:tblGrid>
        <w:gridCol w:w="2760"/>
        <w:gridCol w:w="6600"/>
      </w:tblGrid>
      <w:tr>
        <w:trPr>
          <w:tblHeader/>
        </w:trPr>
        <w:tc>
          <w:tcPr>
            <w:tcW w:type="dxa" w:w="2760"/>
            <w:shd w:fill="1F4E5F" w:color="auto" w:val="clear"/>
            <w:tcMar>
              <w:top w:type="dxa" w:w="70"/>
              <w:left w:type="dxa" w:w="120"/>
              <w:bottom w:type="dxa" w:w="70"/>
              <w:right w:type="dxa" w:w="120"/>
            </w:tcMar>
          </w:tcPr>
          <w:p>
            <w:r>
              <w:rPr>
                <w:rFonts w:ascii="Calibri" w:cs="Calibri" w:eastAsia="Calibri" w:hAnsi="Calibri"/>
                <w:b/>
                <w:bCs/>
                <w:color w:val="FFFFFF"/>
                <w:sz w:val="18"/>
                <w:szCs w:val="18"/>
              </w:rPr>
              <w:t xml:space="preserve">Plan type</w:t>
            </w:r>
          </w:p>
        </w:tc>
        <w:tc>
          <w:tcPr>
            <w:tcW w:type="dxa" w:w="6600"/>
            <w:shd w:fill="1F4E5F" w:color="auto" w:val="clear"/>
            <w:tcMar>
              <w:top w:type="dxa" w:w="70"/>
              <w:left w:type="dxa" w:w="120"/>
              <w:bottom w:type="dxa" w:w="70"/>
              <w:right w:type="dxa" w:w="120"/>
            </w:tcMar>
          </w:tcPr>
          <w:p>
            <w:r>
              <w:rPr>
                <w:rFonts w:ascii="Calibri" w:cs="Calibri" w:eastAsia="Calibri" w:hAnsi="Calibri"/>
                <w:b/>
                <w:bCs/>
                <w:color w:val="FFFFFF"/>
                <w:sz w:val="18"/>
                <w:szCs w:val="18"/>
              </w:rPr>
              <w:t xml:space="preserve">General pattern (verify per client)</w:t>
            </w:r>
          </w:p>
        </w:tc>
      </w:tr>
      <w:tr>
        <w:tc>
          <w:tcPr>
            <w:tcW w:type="dxa" w:w="276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Commercial / employer plans</w:t>
            </w:r>
          </w:p>
        </w:tc>
        <w:tc>
          <w:tcPr>
            <w:tcW w:type="dxa" w:w="660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Commonly covered with prior authorization. Out-of-pocket depends on the plan’s specialty medical benefit and deductible. Manufacturer savings programs may reduce cost for eligible commercially insured patients.</w:t>
            </w:r>
          </w:p>
        </w:tc>
      </w:tr>
      <w:tr>
        <w:tc>
          <w:tcPr>
            <w:tcW w:type="dxa" w:w="2760"/>
            <w:shd w:fill="F4F1EA"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Medicare Part B</w:t>
            </w:r>
          </w:p>
        </w:tc>
        <w:tc>
          <w:tcPr>
            <w:tcW w:type="dxa" w:w="6600"/>
            <w:shd w:fill="F4F1EA"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Spravato is generally covered under Part B as a provider-administered drug (rather than Part D), since it’s given and monitored on-site. Standard Part B cost-sharing applies; supplemental coverage may offset it.</w:t>
            </w:r>
          </w:p>
        </w:tc>
      </w:tr>
      <w:tr>
        <w:tc>
          <w:tcPr>
            <w:tcW w:type="dxa" w:w="276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Tricare</w:t>
            </w:r>
          </w:p>
        </w:tc>
        <w:tc>
          <w:tcPr>
            <w:tcW w:type="dxa" w:w="660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Generally covered with prior authorization for eligible beneficiaries meeting criteria.</w:t>
            </w:r>
          </w:p>
        </w:tc>
      </w:tr>
      <w:tr>
        <w:tc>
          <w:tcPr>
            <w:tcW w:type="dxa" w:w="2760"/>
            <w:shd w:fill="F4F1EA"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Medicaid</w:t>
            </w:r>
          </w:p>
        </w:tc>
        <w:tc>
          <w:tcPr>
            <w:tcW w:type="dxa" w:w="6600"/>
            <w:shd w:fill="F4F1EA"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Coverage varies by state and plan; some cover with prior authorization. We verify case by case.</w:t>
            </w:r>
          </w:p>
        </w:tc>
      </w:tr>
      <w:tr>
        <w:tc>
          <w:tcPr>
            <w:tcW w:type="dxa" w:w="276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Uninsured / self-pay</w:t>
            </w:r>
          </w:p>
        </w:tc>
        <w:tc>
          <w:tcPr>
            <w:tcW w:type="dxa" w:w="660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IV ketamine is usually the more straightforward self-pay route. We’ll walk through options and exact pricing.</w:t>
            </w:r>
          </w:p>
        </w:tc>
      </w:tr>
    </w:tbl>
    <w:p>
      <w:pPr>
        <w:spacing w:after="120" w:line="264"/>
      </w:pPr>
      <w:r>
        <w:rPr>
          <w:rFonts w:ascii="Calibri" w:cs="Calibri" w:eastAsia="Calibri" w:hAnsi="Calibri"/>
          <w:i/>
          <w:iCs/>
          <w:color w:val="6B7A80"/>
          <w:sz w:val="20"/>
          <w:szCs w:val="20"/>
        </w:rPr>
        <w:t xml:space="preserve">These are general patterns, not guarantees. </w:t>
      </w:r>
      <w:r>
        <w:rPr>
          <w:rFonts w:ascii="Calibri" w:cs="Calibri" w:eastAsia="Calibri" w:hAnsi="Calibri"/>
          <w:i/>
          <w:iCs/>
          <w:color w:val="6B7A80"/>
          <w:sz w:val="20"/>
          <w:szCs w:val="20"/>
        </w:rPr>
        <w:t xml:space="preserve">Benefits, prior-authorization criteria, and cost-sharing differ by carrier, plan, and state, and they change over time. We verify each client’s specific coverage before treatment starts.</w:t>
      </w:r>
    </w:p>
    <w:p>
      <w:pPr>
        <w:keepNext/>
        <w:pBdr>
          <w:bottom w:val="single" w:color="E4DECF" w:sz="6" w:space="4"/>
        </w:pBdr>
        <w:spacing w:after="80" w:before="240"/>
      </w:pPr>
      <w:r>
        <w:rPr>
          <w:rFonts w:ascii="Calibri" w:cs="Calibri" w:eastAsia="Calibri" w:hAnsi="Calibri"/>
          <w:b/>
          <w:bCs/>
          <w:color w:val="1F4E5F"/>
          <w:sz w:val="24"/>
          <w:szCs w:val="24"/>
        </w:rPr>
        <w:t xml:space="preserve">What the prior authorization usually requires</w:t>
      </w:r>
    </w:p>
    <w:p>
      <w:pPr>
        <w:pStyle w:val="ListParagraph"/>
        <w:numPr>
          <w:ilvl w:val="0"/>
          <w:numId w:val="2"/>
        </w:numPr>
        <w:spacing w:after="60" w:line="260"/>
      </w:pPr>
      <w:r>
        <w:rPr>
          <w:rFonts w:ascii="Calibri" w:cs="Calibri" w:eastAsia="Calibri" w:hAnsi="Calibri"/>
          <w:color w:val="222222"/>
          <w:sz w:val="20"/>
          <w:szCs w:val="20"/>
        </w:rPr>
        <w:t xml:space="preserve">Documented diagnosis of major depressive disorder / treatment-resistant depression</w:t>
      </w:r>
    </w:p>
    <w:p>
      <w:pPr>
        <w:pStyle w:val="ListParagraph"/>
        <w:numPr>
          <w:ilvl w:val="0"/>
          <w:numId w:val="2"/>
        </w:numPr>
        <w:spacing w:after="60" w:line="260"/>
      </w:pPr>
      <w:r>
        <w:rPr>
          <w:rFonts w:ascii="Calibri" w:cs="Calibri" w:eastAsia="Calibri" w:hAnsi="Calibri"/>
          <w:color w:val="222222"/>
          <w:sz w:val="20"/>
          <w:szCs w:val="20"/>
        </w:rPr>
        <w:t xml:space="preserve">Record of two or more qualifying antidepressant trials in the current episode (dose, duration, response)</w:t>
      </w:r>
    </w:p>
    <w:p>
      <w:pPr>
        <w:pStyle w:val="ListParagraph"/>
        <w:numPr>
          <w:ilvl w:val="0"/>
          <w:numId w:val="2"/>
        </w:numPr>
        <w:spacing w:after="60" w:line="260"/>
      </w:pPr>
      <w:r>
        <w:rPr>
          <w:rFonts w:ascii="Calibri" w:cs="Calibri" w:eastAsia="Calibri" w:hAnsi="Calibri"/>
          <w:color w:val="222222"/>
          <w:sz w:val="20"/>
          <w:szCs w:val="20"/>
        </w:rPr>
        <w:t xml:space="preserve">Confirmation Spravato will be used with an oral antidepressant, where the plan requires it</w:t>
      </w:r>
    </w:p>
    <w:p>
      <w:pPr>
        <w:pStyle w:val="ListParagraph"/>
        <w:numPr>
          <w:ilvl w:val="0"/>
          <w:numId w:val="2"/>
        </w:numPr>
        <w:spacing w:after="60" w:line="260"/>
      </w:pPr>
      <w:r>
        <w:rPr>
          <w:rFonts w:ascii="Calibri" w:cs="Calibri" w:eastAsia="Calibri" w:hAnsi="Calibri"/>
          <w:color w:val="222222"/>
          <w:sz w:val="20"/>
          <w:szCs w:val="20"/>
        </w:rPr>
        <w:t xml:space="preserve">Administration in a REMS-certified setting — which our clinic is</w:t>
      </w:r>
    </w:p>
    <w:p>
      <w:pPr>
        <w:spacing w:after="120" w:line="264"/>
      </w:pPr>
      <w:r>
        <w:rPr>
          <w:rFonts w:ascii="Calibri" w:cs="Calibri" w:eastAsia="Calibri" w:hAnsi="Calibri"/>
          <w:color w:val="222222"/>
          <w:sz w:val="20"/>
          <w:szCs w:val="20"/>
        </w:rPr>
        <w:t xml:space="preserve">We assemble and submit this. You don’t need to manage the authorization — your notes simply make it faster.</w:t>
      </w:r>
    </w:p>
    <w:p>
      <w:pPr>
        <w:keepNext/>
        <w:pBdr>
          <w:bottom w:val="single" w:color="E4DECF" w:sz="6" w:space="4"/>
        </w:pBdr>
        <w:spacing w:after="80" w:before="240"/>
      </w:pPr>
      <w:r>
        <w:rPr>
          <w:rFonts w:ascii="Calibri" w:cs="Calibri" w:eastAsia="Calibri" w:hAnsi="Calibri"/>
          <w:b/>
          <w:bCs/>
          <w:color w:val="1F4E5F"/>
          <w:sz w:val="24"/>
          <w:szCs w:val="24"/>
        </w:rPr>
        <w:t xml:space="preserve">What to tell your client</w:t>
      </w:r>
    </w:p>
    <w:tbl>
      <w:tblPr>
        <w:tblW w:type="dxa" w:w="9360"/>
        <w:tblBorders>
          <w:top w:val="single" w:color="E4DECF" w:sz="4"/>
          <w:left w:val="single" w:color="3A7CA5" w:sz="18"/>
          <w:bottom w:val="single" w:color="E4DECF" w:sz="4"/>
          <w:right w:val="single" w:color="E4DECF" w:sz="4"/>
          <w:insideH w:val="none"/>
          <w:insideV w:val="none"/>
        </w:tblBorders>
      </w:tblPr>
      <w:tblGrid>
        <w:gridCol w:w="9360"/>
      </w:tblGrid>
      <w:tr>
        <w:tc>
          <w:tcPr>
            <w:tcW w:type="dxa" w:w="9360"/>
            <w:shd w:fill="F4F1EA" w:color="auto" w:val="clear"/>
            <w:tcMar>
              <w:top w:type="dxa" w:w="120"/>
              <w:left w:type="dxa" w:w="160"/>
              <w:bottom w:type="dxa" w:w="120"/>
              <w:right w:type="dxa" w:w="160"/>
            </w:tcMar>
          </w:tcPr>
          <w:p>
            <w:pPr>
              <w:spacing w:after="0" w:line="258"/>
            </w:pPr>
            <w:r>
              <w:rPr>
                <w:rFonts w:ascii="Calibri" w:cs="Calibri" w:eastAsia="Calibri" w:hAnsi="Calibri"/>
                <w:i/>
                <w:iCs/>
                <w:color w:val="222222"/>
                <w:sz w:val="20"/>
                <w:szCs w:val="20"/>
              </w:rPr>
              <w:t xml:space="preserve">“If cost is your worry — there’s a version of this called Spravato that’s often covered by insurance, including many commercial plans, Medicare, and Tricare. The clinic checks your specific coverage and tells you the real number before you commit to anything. Let’s at least find out what it would cost you.”</w:t>
            </w:r>
          </w:p>
        </w:tc>
      </w:tr>
    </w:tbl>
    <w:p>
      <w:pPr>
        <w:keepNext/>
        <w:pBdr>
          <w:bottom w:val="single" w:color="E4DECF" w:sz="6" w:space="4"/>
        </w:pBdr>
        <w:spacing w:after="80" w:before="240"/>
      </w:pPr>
      <w:r>
        <w:rPr>
          <w:rFonts w:ascii="Calibri" w:cs="Calibri" w:eastAsia="Calibri" w:hAnsi="Calibri"/>
          <w:b/>
          <w:bCs/>
          <w:color w:val="1F4E5F"/>
          <w:sz w:val="24"/>
          <w:szCs w:val="24"/>
        </w:rPr>
        <w:t xml:space="preserve">Refer or verify coverage</w:t>
      </w:r>
    </w:p>
    <w:p>
      <w:pPr>
        <w:spacing w:after="120" w:line="264"/>
      </w:pPr>
      <w:r>
        <w:rPr>
          <w:rFonts w:ascii="Calibri" w:cs="Calibri" w:eastAsia="Calibri" w:hAnsi="Calibri"/>
          <w:color w:val="222222"/>
          <w:sz w:val="20"/>
          <w:szCs w:val="20"/>
        </w:rPr>
        <w:t xml:space="preserve">We’ll run a benefits check for any client you refer and report back with real numbers. Start a referral or book a clinician call at </w:t>
      </w:r>
      <w:r>
        <w:rPr>
          <w:rFonts w:ascii="Calibri" w:cs="Calibri" w:eastAsia="Calibri" w:hAnsi="Calibri"/>
          <w:b/>
          <w:bCs/>
          <w:color w:val="3A7CA5"/>
          <w:sz w:val="20"/>
          <w:szCs w:val="20"/>
        </w:rPr>
        <w:t xml:space="preserve">seasideketamine.com/for-therapists</w:t>
      </w:r>
      <w:r>
        <w:rPr>
          <w:rFonts w:ascii="Calibri" w:cs="Calibri" w:eastAsia="Calibri" w:hAnsi="Calibri"/>
          <w:color w:val="222222"/>
          <w:sz w:val="20"/>
          <w:szCs w:val="20"/>
        </w:rPr>
        <w:t xml:space="preserve">.</w:t>
      </w:r>
    </w:p>
    <w:p>
      <w:pPr>
        <w:spacing w:after="60"/>
      </w:pPr>
      <w:r>
        <w:rPr>
          <w:sz w:val="2"/>
          <w:szCs w:val="2"/>
        </w:rPr>
        <w:t xml:space="preserve"/>
      </w:r>
    </w:p>
    <w:p>
      <w:pPr>
        <w:spacing w:after="120" w:line="264"/>
      </w:pPr>
      <w:r>
        <w:rPr>
          <w:rFonts w:ascii="Calibri" w:cs="Calibri" w:eastAsia="Calibri" w:hAnsi="Calibri"/>
          <w:i/>
          <w:iCs/>
          <w:color w:val="6B7A80"/>
          <w:sz w:val="15"/>
          <w:szCs w:val="15"/>
        </w:rPr>
        <w:t xml:space="preserve">Spravato® is a registered trademark of Janssen Pharmaceuticals, Inc. This document is educational and does not guarantee coverage or clinical outcomes.</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4DECF" w:sz="6" w:space="6"/>
      </w:pBdr>
      <w:spacing w:before="60"/>
    </w:pPr>
    <w:r>
      <w:rPr>
        <w:rFonts w:ascii="Calibri" w:cs="Calibri" w:eastAsia="Calibri" w:hAnsi="Calibri"/>
        <w:i/>
        <w:iCs/>
        <w:color w:val="6B7A80"/>
        <w:sz w:val="13"/>
        <w:szCs w:val="13"/>
      </w:rPr>
      <w:t xml:space="preserve">For licensed clinicians. Educational use only — not a substitute for independent clinical judgment.</w:t>
    </w:r>
  </w:p>
  <w:p>
    <w:pPr>
      <w:jc w:val="right"/>
    </w:pPr>
    <w:r>
      <w:rPr>
        <w:rFonts w:ascii="Calibri" w:cs="Calibri" w:eastAsia="Calibri" w:hAnsi="Calibri"/>
        <w:color w:val="6B7A80"/>
        <w:sz w:val="13"/>
        <w:szCs w:val="13"/>
      </w:rPr>
      <w:t xml:space="preserve">Seaside Ketamine  ·  </w:t>
    </w:r>
    <w:r>
      <w:rPr>
        <w:rFonts w:ascii="Calibri" w:cs="Calibri" w:eastAsia="Calibri" w:hAnsi="Calibri"/>
        <w:color w:val="6B7A80"/>
        <w:sz w:val="13"/>
        <w:szCs w:val="13"/>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40"/>
    </w:pPr>
    <w:r>
      <w:rPr>
        <w:rFonts w:ascii="Calibri" w:cs="Calibri" w:eastAsia="Calibri" w:hAnsi="Calibri"/>
        <w:b/>
        <w:bCs/>
        <w:color w:val="1F4E5F"/>
        <w:spacing w:val="40"/>
        <w:sz w:val="22"/>
        <w:szCs w:val="22"/>
      </w:rPr>
      <w:t xml:space="preserve">SEASIDE KETAMINE</w:t>
    </w:r>
  </w:p>
  <w:p>
    <w:pPr>
      <w:pBdr>
        <w:bottom w:val="single" w:color="3A7CA5" w:sz="10" w:space="6"/>
      </w:pBdr>
      <w:spacing w:after="80"/>
    </w:pPr>
    <w:r>
      <w:rPr>
        <w:rFonts w:ascii="Calibri" w:cs="Calibri" w:eastAsia="Calibri" w:hAnsi="Calibri"/>
        <w:color w:val="6B7A80"/>
        <w:sz w:val="15"/>
        <w:szCs w:val="15"/>
      </w:rPr>
      <w:t xml:space="preserve">Cardiff-by-the-Sea, California  ·  Clinician Resource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color w:val="3A7CA5"/>
      </w:rPr>
    </w:lvl>
    <w:lvl w:ilvl="1" w15:tentative="1">
      <w:start w:val="1"/>
      <w:numFmt w:val="bullet"/>
      <w:lvlText w:val="–"/>
      <w:lvlJc w:val="left"/>
      <w:pPr>
        <w:ind w:left="700" w:hanging="200"/>
      </w:pPr>
      <w:rPr>
        <w:color w:val="6B7A80"/>
      </w:rPr>
    </w:lvl>
  </w:abstractNum>
  <w:abstractNum w:abstractNumId="3" w15:restartNumberingAfterBreak="0">
    <w:multiLevelType w:val="hybridMultilevel"/>
    <w:lvl w:ilvl="0" w15:tentative="1">
      <w:start w:val="1"/>
      <w:numFmt w:val="decimal"/>
      <w:lvlText w:val="%1."/>
      <w:lvlJc w:val="left"/>
      <w:pPr>
        <w:ind w:left="360" w:hanging="220"/>
      </w:pPr>
      <w:rPr>
        <w:b/>
        <w:bCs/>
        <w:color w:val="1F4E5F"/>
      </w:rPr>
    </w:lvl>
  </w:abstractNum>
  <w:abstractNum w:abstractNumId="4" w15:restartNumberingAfterBreak="0">
    <w:multiLevelType w:val="hybridMultilevel"/>
    <w:lvl w:ilvl="0" w15:tentative="1">
      <w:start w:val="1"/>
      <w:numFmt w:val="bullet"/>
      <w:lvlText w:val="☐"/>
      <w:lvlJc w:val="left"/>
      <w:pPr>
        <w:ind w:left="360" w:hanging="240"/>
      </w:pPr>
      <w:rPr>
        <w:color w:val="3A7CA5"/>
        <w:sz w:val="24"/>
        <w:szCs w:val="24"/>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2026-07-15T18:12:55.481Z</dcterms:created>
  <dcterms:modified xsi:type="dcterms:W3CDTF">2026-07-15T18:12:55.481Z</dcterms:modified>
</cp:coreProperties>
</file>

<file path=docProps/custom.xml><?xml version="1.0" encoding="utf-8"?>
<Properties xmlns="http://schemas.openxmlformats.org/officeDocument/2006/custom-properties" xmlns:vt="http://schemas.openxmlformats.org/officeDocument/2006/docPropsVTypes"/>
</file>